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64E7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9DA082">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C779299">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680F4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0489E4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7DEE91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0CAA4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7278539">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61</w:t>
            </w:r>
            <w:r>
              <w:fldChar w:fldCharType="end"/>
            </w:r>
            <w:bookmarkEnd w:id="3"/>
          </w:p>
        </w:tc>
      </w:tr>
    </w:tbl>
    <w:p w14:paraId="6A7688B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陕西省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5467565">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6F8C890">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B3B522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69E8C7B">
      <w:pPr>
        <w:pStyle w:val="50"/>
        <w:framePr w:w="9639" w:h="6976" w:hRule="exact" w:hSpace="0" w:vSpace="0" w:wrap="around" w:hAnchor="page" w:y="6408"/>
        <w:jc w:val="center"/>
        <w:rPr>
          <w:rFonts w:ascii="黑体" w:hAnsi="黑体" w:eastAsia="黑体"/>
          <w:b w:val="0"/>
          <w:bCs w:val="0"/>
          <w:w w:val="100"/>
        </w:rPr>
      </w:pPr>
    </w:p>
    <w:p w14:paraId="49B59719">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地理</w:t>
      </w:r>
      <w:r>
        <w:t>标志产品质量要求</w:t>
      </w:r>
      <w:r>
        <w:rPr>
          <w:rFonts w:hint="eastAsia"/>
        </w:rPr>
        <w:t xml:space="preserve"> 府谷海红果</w:t>
      </w:r>
      <w:r>
        <w:fldChar w:fldCharType="end"/>
      </w:r>
      <w:bookmarkEnd w:id="9"/>
    </w:p>
    <w:p w14:paraId="0A5D5165">
      <w:pPr>
        <w:framePr w:w="9639" w:h="6974" w:hRule="exact" w:wrap="around" w:vAnchor="page" w:hAnchor="page" w:x="1419" w:y="6408" w:anchorLock="1"/>
        <w:ind w:left="-1418"/>
      </w:pPr>
    </w:p>
    <w:p w14:paraId="79D1D355">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Quality requirements for product of geographical indication</w:t>
      </w:r>
    </w:p>
    <w:p w14:paraId="5D6834F7">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-Fugu Haihong Fruit</w:t>
      </w:r>
      <w:r>
        <w:rPr>
          <w:rFonts w:ascii="黑体" w:hAnsi="黑体" w:eastAsia="黑体"/>
          <w:szCs w:val="28"/>
        </w:rPr>
        <w:fldChar w:fldCharType="end"/>
      </w:r>
      <w:bookmarkEnd w:id="10"/>
    </w:p>
    <w:p w14:paraId="6AB423E1">
      <w:pPr>
        <w:framePr w:w="9639" w:h="6974" w:hRule="exact" w:wrap="around" w:vAnchor="page" w:hAnchor="page" w:x="1419" w:y="6408" w:anchorLock="1"/>
        <w:spacing w:line="760" w:lineRule="exact"/>
        <w:ind w:left="-1418"/>
      </w:pPr>
    </w:p>
    <w:p w14:paraId="392E3FD8">
      <w:pPr>
        <w:pStyle w:val="125"/>
        <w:framePr w:w="9639" w:h="6974" w:hRule="exact" w:wrap="around" w:vAnchor="page" w:hAnchor="page" w:x="1419" w:y="6408" w:anchorLock="1"/>
        <w:textAlignment w:val="bottom"/>
        <w:rPr>
          <w:rFonts w:eastAsia="黑体"/>
          <w:szCs w:val="28"/>
        </w:rPr>
      </w:pPr>
    </w:p>
    <w:p w14:paraId="2F354C6F">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20XX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1678AF72">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20XX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78C18C3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陕西省</w:t>
      </w:r>
      <w:r>
        <w:rPr>
          <w:rFonts w:hAnsi="黑体"/>
          <w:w w:val="100"/>
          <w:sz w:val="28"/>
        </w:rPr>
        <w:t>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347430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59E053F">
      <w:pPr>
        <w:pStyle w:val="91"/>
        <w:spacing w:after="468"/>
      </w:pPr>
      <w:bookmarkStart w:id="18" w:name="BookMark1"/>
      <w:r>
        <w:rPr>
          <w:rFonts w:hint="eastAsia"/>
          <w:spacing w:val="320"/>
        </w:rPr>
        <w:t>目</w:t>
      </w:r>
      <w:r>
        <w:rPr>
          <w:rFonts w:hint="eastAsia"/>
        </w:rPr>
        <w:t>次</w:t>
      </w:r>
    </w:p>
    <w:p w14:paraId="72D11F5A">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"_Toc198566125" </w:instrText>
      </w:r>
      <w:r>
        <w:fldChar w:fldCharType="separate"/>
      </w:r>
      <w:r>
        <w:rPr>
          <w:rStyle w:val="32"/>
          <w:rFonts w:hint="eastAsia"/>
          <w:spacing w:val="320"/>
        </w:rPr>
        <w:t>前</w:t>
      </w:r>
      <w:r>
        <w:rPr>
          <w:rStyle w:val="32"/>
          <w:rFonts w:hint="eastAsia"/>
        </w:rPr>
        <w:t>言</w:t>
      </w:r>
      <w:r>
        <w:tab/>
      </w:r>
      <w:r>
        <w:fldChar w:fldCharType="begin"/>
      </w:r>
      <w:r>
        <w:instrText xml:space="preserve"> PAGEREF _Toc198566125 \h </w:instrText>
      </w:r>
      <w:r>
        <w:fldChar w:fldCharType="separate"/>
      </w:r>
      <w:r>
        <w:t>II</w:t>
      </w:r>
      <w:r>
        <w:fldChar w:fldCharType="end"/>
      </w:r>
      <w:r>
        <w:fldChar w:fldCharType="end"/>
      </w:r>
    </w:p>
    <w:p w14:paraId="711A1359">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"_Toc198566126" </w:instrText>
      </w:r>
      <w:r>
        <w:fldChar w:fldCharType="separate"/>
      </w:r>
      <w:r>
        <w:rPr>
          <w:rStyle w:val="32"/>
        </w:rPr>
        <w:t>1</w:t>
      </w:r>
      <w:r>
        <w:rPr>
          <w:rStyle w:val="32"/>
          <w:rFonts w:hint="eastAsia"/>
        </w:rPr>
        <w:t xml:space="preserve"> 范围</w:t>
      </w:r>
      <w:r>
        <w:tab/>
      </w:r>
      <w:r>
        <w:fldChar w:fldCharType="begin"/>
      </w:r>
      <w:r>
        <w:instrText xml:space="preserve"> PAGEREF _Toc198566126 \h </w:instrText>
      </w:r>
      <w:r>
        <w:fldChar w:fldCharType="separate"/>
      </w:r>
      <w:r>
        <w:t>1</w:t>
      </w:r>
      <w:r>
        <w:fldChar w:fldCharType="end"/>
      </w:r>
      <w:r>
        <w:fldChar w:fldCharType="end"/>
      </w:r>
    </w:p>
    <w:p w14:paraId="00A1E8FA">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"_Toc198566127" </w:instrText>
      </w:r>
      <w:r>
        <w:fldChar w:fldCharType="separate"/>
      </w:r>
      <w:r>
        <w:rPr>
          <w:rStyle w:val="32"/>
        </w:rPr>
        <w:t>2</w:t>
      </w:r>
      <w:r>
        <w:rPr>
          <w:rStyle w:val="32"/>
          <w:rFonts w:hint="eastAsia"/>
        </w:rPr>
        <w:t xml:space="preserve"> 规范性引用文件</w:t>
      </w:r>
      <w:r>
        <w:tab/>
      </w:r>
      <w:r>
        <w:fldChar w:fldCharType="begin"/>
      </w:r>
      <w:r>
        <w:instrText xml:space="preserve"> PAGEREF _Toc198566127 \h </w:instrText>
      </w:r>
      <w:r>
        <w:fldChar w:fldCharType="separate"/>
      </w:r>
      <w:r>
        <w:t>1</w:t>
      </w:r>
      <w:r>
        <w:fldChar w:fldCharType="end"/>
      </w:r>
      <w:r>
        <w:fldChar w:fldCharType="end"/>
      </w:r>
    </w:p>
    <w:p w14:paraId="6A4ECFF5">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"_Toc198566128" </w:instrText>
      </w:r>
      <w:r>
        <w:fldChar w:fldCharType="separate"/>
      </w:r>
      <w:r>
        <w:rPr>
          <w:rStyle w:val="32"/>
        </w:rPr>
        <w:t>3</w:t>
      </w:r>
      <w:r>
        <w:rPr>
          <w:rStyle w:val="32"/>
          <w:rFonts w:hint="eastAsia"/>
        </w:rPr>
        <w:t xml:space="preserve"> 术语和定义</w:t>
      </w:r>
      <w:r>
        <w:tab/>
      </w:r>
      <w:r>
        <w:fldChar w:fldCharType="begin"/>
      </w:r>
      <w:r>
        <w:instrText xml:space="preserve"> PAGEREF _Toc198566128 \h </w:instrText>
      </w:r>
      <w:r>
        <w:fldChar w:fldCharType="separate"/>
      </w:r>
      <w:r>
        <w:t>1</w:t>
      </w:r>
      <w:r>
        <w:fldChar w:fldCharType="end"/>
      </w:r>
      <w:r>
        <w:fldChar w:fldCharType="end"/>
      </w:r>
    </w:p>
    <w:p w14:paraId="78A50A11">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"_Toc198566129" </w:instrText>
      </w:r>
      <w:r>
        <w:fldChar w:fldCharType="separate"/>
      </w:r>
      <w:r>
        <w:rPr>
          <w:rStyle w:val="32"/>
          <w:spacing w:val="6"/>
        </w:rPr>
        <w:t>4</w:t>
      </w:r>
      <w:r>
        <w:rPr>
          <w:rStyle w:val="32"/>
          <w:rFonts w:hint="eastAsia"/>
        </w:rPr>
        <w:t xml:space="preserve"> 保护范围</w:t>
      </w:r>
      <w:r>
        <w:tab/>
      </w:r>
      <w:r>
        <w:fldChar w:fldCharType="begin"/>
      </w:r>
      <w:r>
        <w:instrText xml:space="preserve"> PAGEREF _Toc198566129 \h </w:instrText>
      </w:r>
      <w:r>
        <w:fldChar w:fldCharType="separate"/>
      </w:r>
      <w:r>
        <w:t>2</w:t>
      </w:r>
      <w:r>
        <w:fldChar w:fldCharType="end"/>
      </w:r>
      <w:r>
        <w:fldChar w:fldCharType="end"/>
      </w:r>
    </w:p>
    <w:p w14:paraId="40552317">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"_Toc198566130" </w:instrText>
      </w:r>
      <w:r>
        <w:fldChar w:fldCharType="separate"/>
      </w:r>
      <w:r>
        <w:rPr>
          <w:rStyle w:val="32"/>
          <w:spacing w:val="6"/>
        </w:rPr>
        <w:t>5</w:t>
      </w:r>
      <w:r>
        <w:rPr>
          <w:rStyle w:val="32"/>
          <w:rFonts w:hint="eastAsia"/>
        </w:rPr>
        <w:t xml:space="preserve"> 种植要求</w:t>
      </w:r>
      <w:r>
        <w:tab/>
      </w:r>
      <w:r>
        <w:fldChar w:fldCharType="begin"/>
      </w:r>
      <w:r>
        <w:instrText xml:space="preserve"> PAGEREF _Toc198566130 \h </w:instrText>
      </w:r>
      <w:r>
        <w:fldChar w:fldCharType="separate"/>
      </w:r>
      <w:r>
        <w:t>2</w:t>
      </w:r>
      <w:r>
        <w:fldChar w:fldCharType="end"/>
      </w:r>
      <w:r>
        <w:fldChar w:fldCharType="end"/>
      </w:r>
    </w:p>
    <w:p w14:paraId="7B09B955">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"_Toc198566131" </w:instrText>
      </w:r>
      <w:r>
        <w:fldChar w:fldCharType="separate"/>
      </w:r>
      <w:r>
        <w:rPr>
          <w:rStyle w:val="32"/>
        </w:rPr>
        <w:t>6</w:t>
      </w:r>
      <w:r>
        <w:rPr>
          <w:rStyle w:val="32"/>
          <w:rFonts w:hint="eastAsia"/>
        </w:rPr>
        <w:t xml:space="preserve"> 质量要求</w:t>
      </w:r>
      <w:r>
        <w:tab/>
      </w:r>
      <w:r>
        <w:fldChar w:fldCharType="begin"/>
      </w:r>
      <w:r>
        <w:instrText xml:space="preserve"> PAGEREF _Toc198566131 \h </w:instrText>
      </w:r>
      <w:r>
        <w:fldChar w:fldCharType="separate"/>
      </w:r>
      <w:r>
        <w:t>3</w:t>
      </w:r>
      <w:r>
        <w:fldChar w:fldCharType="end"/>
      </w:r>
      <w:r>
        <w:fldChar w:fldCharType="end"/>
      </w:r>
    </w:p>
    <w:p w14:paraId="188A4E18">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"_Toc198566132" </w:instrText>
      </w:r>
      <w:r>
        <w:fldChar w:fldCharType="separate"/>
      </w:r>
      <w:r>
        <w:rPr>
          <w:rStyle w:val="32"/>
        </w:rPr>
        <w:t>7</w:t>
      </w:r>
      <w:r>
        <w:rPr>
          <w:rStyle w:val="32"/>
          <w:rFonts w:hint="eastAsia"/>
        </w:rPr>
        <w:t xml:space="preserve"> 检验方法</w:t>
      </w:r>
      <w:r>
        <w:tab/>
      </w:r>
      <w:r>
        <w:fldChar w:fldCharType="begin"/>
      </w:r>
      <w:r>
        <w:instrText xml:space="preserve"> PAGEREF _Toc198566132 \h </w:instrText>
      </w:r>
      <w:r>
        <w:fldChar w:fldCharType="separate"/>
      </w:r>
      <w:r>
        <w:t>4</w:t>
      </w:r>
      <w:r>
        <w:fldChar w:fldCharType="end"/>
      </w:r>
      <w:r>
        <w:fldChar w:fldCharType="end"/>
      </w:r>
    </w:p>
    <w:p w14:paraId="7CB61EFB">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"_Toc198566133" </w:instrText>
      </w:r>
      <w:r>
        <w:fldChar w:fldCharType="separate"/>
      </w:r>
      <w:r>
        <w:rPr>
          <w:rStyle w:val="32"/>
        </w:rPr>
        <w:t>8</w:t>
      </w:r>
      <w:r>
        <w:rPr>
          <w:rStyle w:val="32"/>
          <w:rFonts w:hint="eastAsia"/>
        </w:rPr>
        <w:t xml:space="preserve"> 检验规则</w:t>
      </w:r>
      <w:r>
        <w:tab/>
      </w:r>
      <w:r>
        <w:fldChar w:fldCharType="begin"/>
      </w:r>
      <w:r>
        <w:instrText xml:space="preserve"> PAGEREF _Toc198566133 \h </w:instrText>
      </w:r>
      <w:r>
        <w:fldChar w:fldCharType="separate"/>
      </w:r>
      <w:r>
        <w:t>5</w:t>
      </w:r>
      <w:r>
        <w:fldChar w:fldCharType="end"/>
      </w:r>
      <w:r>
        <w:fldChar w:fldCharType="end"/>
      </w:r>
    </w:p>
    <w:p w14:paraId="1FC167F7">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"_Toc198566134" </w:instrText>
      </w:r>
      <w:r>
        <w:fldChar w:fldCharType="separate"/>
      </w:r>
      <w:r>
        <w:rPr>
          <w:rStyle w:val="32"/>
        </w:rPr>
        <w:t>9</w:t>
      </w:r>
      <w:r>
        <w:rPr>
          <w:rStyle w:val="32"/>
          <w:rFonts w:hint="eastAsia"/>
        </w:rPr>
        <w:t xml:space="preserve"> 标签、标志、包装、运输、贮藏</w:t>
      </w:r>
      <w:r>
        <w:tab/>
      </w:r>
      <w:r>
        <w:fldChar w:fldCharType="begin"/>
      </w:r>
      <w:r>
        <w:instrText xml:space="preserve"> PAGEREF _Toc198566134 \h </w:instrText>
      </w:r>
      <w:r>
        <w:fldChar w:fldCharType="separate"/>
      </w:r>
      <w:r>
        <w:t>5</w:t>
      </w:r>
      <w:r>
        <w:fldChar w:fldCharType="end"/>
      </w:r>
      <w:r>
        <w:fldChar w:fldCharType="end"/>
      </w:r>
    </w:p>
    <w:p w14:paraId="2A597E75">
      <w:pPr>
        <w:pStyle w:val="19"/>
        <w:tabs>
          <w:tab w:val="right" w:leader="dot" w:pos="9344"/>
        </w:tabs>
        <w:rPr>
          <w:rFonts w:asciiTheme="minorHAnsi" w:hAnsiTheme="minorHAnsi" w:eastAsiaTheme="minorEastAsia" w:cstheme="minorBidi"/>
          <w:szCs w:val="22"/>
        </w:rPr>
      </w:pPr>
      <w:r>
        <w:fldChar w:fldCharType="begin"/>
      </w:r>
      <w:r>
        <w:instrText xml:space="preserve"> HYPERLINK \l "_Toc198566135" </w:instrText>
      </w:r>
      <w:r>
        <w:fldChar w:fldCharType="separate"/>
      </w:r>
      <w:r>
        <w:rPr>
          <w:rStyle w:val="32"/>
          <w:rFonts w:hint="eastAsia"/>
          <w:spacing w:val="100"/>
        </w:rPr>
        <w:t>附录A</w:t>
      </w:r>
      <w:r>
        <w:rPr>
          <w:rStyle w:val="32"/>
          <w:rFonts w:hint="eastAsia"/>
        </w:rPr>
        <w:t xml:space="preserve"> （规范性）</w:t>
      </w:r>
      <w:r>
        <w:rPr>
          <w:rStyle w:val="32"/>
        </w:rPr>
        <w:t xml:space="preserve"> </w:t>
      </w:r>
      <w:r>
        <w:rPr>
          <w:rStyle w:val="32"/>
          <w:rFonts w:hint="eastAsia"/>
        </w:rPr>
        <w:t>地理标准产品</w:t>
      </w:r>
      <w:r>
        <w:rPr>
          <w:rStyle w:val="32"/>
        </w:rPr>
        <w:t xml:space="preserve"> </w:t>
      </w:r>
      <w:r>
        <w:rPr>
          <w:rStyle w:val="32"/>
          <w:rFonts w:hint="eastAsia"/>
        </w:rPr>
        <w:t>府谷海红果保护范围</w:t>
      </w:r>
      <w:r>
        <w:tab/>
      </w:r>
      <w:r>
        <w:fldChar w:fldCharType="begin"/>
      </w:r>
      <w:r>
        <w:instrText xml:space="preserve"> PAGEREF _Toc198566135 \h </w:instrText>
      </w:r>
      <w:r>
        <w:fldChar w:fldCharType="separate"/>
      </w:r>
      <w:r>
        <w:t>7</w:t>
      </w:r>
      <w:r>
        <w:fldChar w:fldCharType="end"/>
      </w:r>
      <w:r>
        <w:fldChar w:fldCharType="end"/>
      </w:r>
    </w:p>
    <w:p w14:paraId="6BB1C55C">
      <w:pPr>
        <w:pStyle w:val="91"/>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14:paraId="3F83D029">
      <w:pPr>
        <w:pStyle w:val="89"/>
        <w:spacing w:before="900" w:after="468"/>
      </w:pPr>
      <w:bookmarkStart w:id="19" w:name="_Toc198566125"/>
      <w:bookmarkStart w:id="20" w:name="BookMark2"/>
      <w:r>
        <w:rPr>
          <w:spacing w:val="320"/>
        </w:rPr>
        <w:t>前</w:t>
      </w:r>
      <w:r>
        <w:t>言</w:t>
      </w:r>
      <w:bookmarkEnd w:id="19"/>
    </w:p>
    <w:p w14:paraId="06E868AA">
      <w:pPr>
        <w:pStyle w:val="56"/>
        <w:ind w:firstLine="420"/>
      </w:pPr>
      <w:r>
        <w:rPr>
          <w:rFonts w:hint="eastAsia"/>
        </w:rPr>
        <w:t>本文件按照GB/T 1.1-2020《标准化工作导则 第1部分：标准化文件的结构和起草规则》的规定起草。</w:t>
      </w:r>
    </w:p>
    <w:p w14:paraId="48DC2B11">
      <w:pPr>
        <w:pStyle w:val="56"/>
        <w:ind w:firstLine="420"/>
      </w:pPr>
      <w:r>
        <w:rPr>
          <w:rFonts w:hint="eastAsia"/>
        </w:rPr>
        <w:t>本文件由陕西省知识产权局提出并归口。</w:t>
      </w:r>
    </w:p>
    <w:p w14:paraId="607FD0BC">
      <w:pPr>
        <w:pStyle w:val="56"/>
        <w:ind w:firstLine="420"/>
      </w:pPr>
      <w:r>
        <w:rPr>
          <w:rFonts w:hint="eastAsia"/>
        </w:rPr>
        <w:t>本文件起草单位：延安市食品质量安全检验检测中心、西安市质量与标准化研究院、府谷县市场监督管理局、府谷枣香情食品有限公司</w:t>
      </w:r>
      <w:r>
        <w:rPr>
          <w:rFonts w:hint="eastAsia"/>
          <w:lang w:eastAsia="zh-CN"/>
        </w:rPr>
        <w:t>、西安</w:t>
      </w:r>
      <w:r>
        <w:rPr>
          <w:rFonts w:hint="eastAsia"/>
          <w:lang w:val="en-US" w:eastAsia="zh-CN"/>
        </w:rPr>
        <w:t>中检科测试认证技术有限责任公司</w:t>
      </w:r>
      <w:r>
        <w:rPr>
          <w:rFonts w:hint="eastAsia"/>
        </w:rPr>
        <w:t>。</w:t>
      </w:r>
    </w:p>
    <w:p w14:paraId="3FDDB3A4">
      <w:pPr>
        <w:pStyle w:val="56"/>
        <w:ind w:firstLine="420"/>
      </w:pPr>
      <w:r>
        <w:rPr>
          <w:rFonts w:hint="eastAsia"/>
        </w:rPr>
        <w:t>本文件主要起草人：李丹妮、张耀武、郑江、王琳、</w:t>
      </w:r>
      <w:r>
        <w:rPr>
          <w:rFonts w:hint="eastAsia"/>
          <w:lang w:eastAsia="zh-CN"/>
        </w:rPr>
        <w:t>刘哲、</w:t>
      </w:r>
      <w:bookmarkStart w:id="55" w:name="_GoBack"/>
      <w:bookmarkEnd w:id="55"/>
      <w:r>
        <w:rPr>
          <w:rFonts w:hint="eastAsia"/>
        </w:rPr>
        <w:t>刘欣、刘卜文、王文鹏、</w:t>
      </w:r>
      <w:r>
        <w:rPr>
          <w:rFonts w:hint="eastAsia"/>
          <w:lang w:eastAsia="zh-CN"/>
        </w:rPr>
        <w:t>王涛、王宇、</w:t>
      </w:r>
      <w:r>
        <w:rPr>
          <w:rFonts w:hint="eastAsia"/>
        </w:rPr>
        <w:t>朱玉帆、高丹、薛龙龙、李丽、武苗、贺姝玥、贺洁茹、</w:t>
      </w:r>
      <w:r>
        <w:rPr>
          <w:rFonts w:hint="eastAsia"/>
          <w:lang w:val="en-US" w:eastAsia="zh-CN"/>
        </w:rPr>
        <w:t>高梦娇、</w:t>
      </w:r>
      <w:r>
        <w:rPr>
          <w:rFonts w:hint="eastAsia"/>
        </w:rPr>
        <w:t>杜鹏、</w:t>
      </w:r>
      <w:r>
        <w:rPr>
          <w:rFonts w:hint="eastAsia"/>
          <w:lang w:val="en-US" w:eastAsia="zh-CN"/>
        </w:rPr>
        <w:t>张美龙、</w:t>
      </w:r>
      <w:r>
        <w:rPr>
          <w:rFonts w:hint="eastAsia"/>
        </w:rPr>
        <w:t>王政栋、米林峰、郝彦云</w:t>
      </w:r>
      <w:r>
        <w:rPr>
          <w:rFonts w:hint="eastAsia"/>
          <w:lang w:eastAsia="zh-CN"/>
        </w:rPr>
        <w:t>、</w:t>
      </w:r>
      <w:r>
        <w:rPr>
          <w:rFonts w:hint="eastAsia"/>
          <w:lang w:val="en-US" w:eastAsia="zh-CN"/>
        </w:rPr>
        <w:t>彭辉</w:t>
      </w:r>
      <w:r>
        <w:rPr>
          <w:rFonts w:hint="eastAsia"/>
        </w:rPr>
        <w:t>。</w:t>
      </w:r>
    </w:p>
    <w:p w14:paraId="655CCDEB">
      <w:pPr>
        <w:pStyle w:val="56"/>
        <w:ind w:firstLine="420"/>
      </w:pPr>
      <w:r>
        <w:rPr>
          <w:rFonts w:hint="eastAsia"/>
        </w:rPr>
        <w:t>本文件由延安市食品质量安全检验检测中心负责解释。</w:t>
      </w:r>
    </w:p>
    <w:p w14:paraId="2027FD22">
      <w:pPr>
        <w:pStyle w:val="56"/>
        <w:ind w:firstLine="420"/>
      </w:pPr>
      <w:r>
        <w:t>本文件为首次发布。</w:t>
      </w:r>
    </w:p>
    <w:p w14:paraId="28B5F5BB">
      <w:pPr>
        <w:pStyle w:val="56"/>
        <w:ind w:firstLine="420"/>
      </w:pPr>
    </w:p>
    <w:p w14:paraId="5CA11AF6">
      <w:pPr>
        <w:pStyle w:val="56"/>
        <w:ind w:firstLine="420"/>
      </w:pPr>
      <w:r>
        <w:rPr>
          <w:rFonts w:hint="eastAsia"/>
        </w:rPr>
        <w:t>本文件在实施中如有疑问或建议，请将咨询或修改建议等信息反馈至下列单位：</w:t>
      </w:r>
    </w:p>
    <w:p w14:paraId="451EB834">
      <w:pPr>
        <w:pStyle w:val="56"/>
        <w:ind w:firstLine="420"/>
      </w:pPr>
      <w:r>
        <w:rPr>
          <w:rFonts w:hint="eastAsia"/>
        </w:rPr>
        <w:t>单位：延安市食品质量安全检验检测中心</w:t>
      </w:r>
    </w:p>
    <w:p w14:paraId="275C777D">
      <w:pPr>
        <w:pStyle w:val="56"/>
        <w:ind w:firstLine="420"/>
      </w:pPr>
      <w:r>
        <w:rPr>
          <w:rFonts w:hint="eastAsia"/>
        </w:rPr>
        <w:t>电话：0911-8899523</w:t>
      </w:r>
    </w:p>
    <w:p w14:paraId="62904ECB">
      <w:pPr>
        <w:pStyle w:val="56"/>
        <w:ind w:firstLine="420"/>
      </w:pPr>
      <w:r>
        <w:rPr>
          <w:rFonts w:hint="eastAsia"/>
        </w:rPr>
        <w:t>地址：延安市新区遵义大街22号</w:t>
      </w:r>
    </w:p>
    <w:p w14:paraId="69585C0C">
      <w:pPr>
        <w:pStyle w:val="56"/>
        <w:ind w:firstLine="420"/>
      </w:pPr>
      <w:r>
        <w:rPr>
          <w:rFonts w:hint="eastAsia"/>
        </w:rPr>
        <w:t>邮编：716000</w:t>
      </w:r>
    </w:p>
    <w:p w14:paraId="21B43C5A">
      <w:pPr>
        <w:pStyle w:val="56"/>
        <w:ind w:firstLine="420"/>
      </w:pPr>
    </w:p>
    <w:p w14:paraId="1EAE320D">
      <w:pPr>
        <w:pStyle w:val="56"/>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0"/>
    <w:p w14:paraId="24F98114">
      <w:pPr>
        <w:spacing w:line="20" w:lineRule="exact"/>
        <w:jc w:val="center"/>
        <w:rPr>
          <w:rFonts w:ascii="黑体" w:hAnsi="黑体" w:eastAsia="黑体"/>
          <w:sz w:val="32"/>
          <w:szCs w:val="32"/>
        </w:rPr>
      </w:pPr>
      <w:bookmarkStart w:id="21" w:name="BookMark4"/>
    </w:p>
    <w:p w14:paraId="1E0CE0D3">
      <w:pPr>
        <w:spacing w:line="20" w:lineRule="exact"/>
        <w:jc w:val="center"/>
        <w:rPr>
          <w:rFonts w:ascii="黑体" w:hAnsi="黑体" w:eastAsia="黑体"/>
          <w:sz w:val="32"/>
          <w:szCs w:val="32"/>
        </w:rPr>
      </w:pPr>
    </w:p>
    <w:sdt>
      <w:sdtPr>
        <w:tag w:val="NEW_STAND_NAME"/>
        <w:id w:val="595910757"/>
        <w:lock w:val="sdtLocked"/>
        <w:placeholder>
          <w:docPart w:val="E75FCDA7076849D1BB069DA915F51615"/>
        </w:placeholder>
      </w:sdtPr>
      <w:sdtContent>
        <w:p w14:paraId="3AE6DD80">
          <w:pPr>
            <w:pStyle w:val="177"/>
            <w:spacing w:before="312" w:beforeLines="100" w:after="686" w:afterLines="220"/>
          </w:pPr>
          <w:bookmarkStart w:id="22" w:name="NEW_STAND_NAME"/>
          <w:r>
            <w:rPr>
              <w:rFonts w:hint="eastAsia"/>
            </w:rPr>
            <w:t>地理标志产品质量要求</w:t>
          </w:r>
          <w:r>
            <w:t xml:space="preserve"> 府谷海红果</w:t>
          </w:r>
        </w:p>
      </w:sdtContent>
    </w:sdt>
    <w:bookmarkEnd w:id="22"/>
    <w:p w14:paraId="143A16F7">
      <w:pPr>
        <w:pStyle w:val="104"/>
        <w:spacing w:before="312" w:after="312"/>
      </w:pPr>
      <w:bookmarkStart w:id="23" w:name="_Toc198566126"/>
      <w:bookmarkStart w:id="24" w:name="_Toc24884218"/>
      <w:bookmarkStart w:id="25" w:name="_Toc26986771"/>
      <w:bookmarkStart w:id="26" w:name="_Toc24884211"/>
      <w:bookmarkStart w:id="27" w:name="_Toc97191423"/>
      <w:bookmarkStart w:id="28" w:name="_Toc26986530"/>
      <w:bookmarkStart w:id="29" w:name="_Toc17233333"/>
      <w:bookmarkStart w:id="30" w:name="_Toc17233325"/>
      <w:bookmarkStart w:id="31" w:name="_Toc26718930"/>
      <w:bookmarkStart w:id="32" w:name="_Toc26648465"/>
      <w:r>
        <w:rPr>
          <w:rFonts w:hint="eastAsia"/>
        </w:rPr>
        <w:t>范围</w:t>
      </w:r>
      <w:bookmarkEnd w:id="23"/>
      <w:bookmarkEnd w:id="24"/>
      <w:bookmarkEnd w:id="25"/>
      <w:bookmarkEnd w:id="26"/>
      <w:bookmarkEnd w:id="27"/>
      <w:bookmarkEnd w:id="28"/>
      <w:bookmarkEnd w:id="29"/>
      <w:bookmarkEnd w:id="30"/>
      <w:bookmarkEnd w:id="31"/>
      <w:bookmarkEnd w:id="32"/>
    </w:p>
    <w:p w14:paraId="599895D2">
      <w:pPr>
        <w:pStyle w:val="56"/>
        <w:ind w:firstLine="420"/>
      </w:pPr>
      <w:bookmarkStart w:id="33" w:name="_Toc24884212"/>
      <w:bookmarkStart w:id="34" w:name="_Toc17233334"/>
      <w:bookmarkStart w:id="35" w:name="_Toc17233326"/>
      <w:bookmarkStart w:id="36" w:name="_Toc26648466"/>
      <w:bookmarkStart w:id="37" w:name="_Toc24884219"/>
      <w:r>
        <w:rPr>
          <w:rFonts w:hint="eastAsia"/>
        </w:rPr>
        <w:t>本文件规定了地理标志产品府谷海红果的保护范围、种植要求、质量要求、试验方法、检验规则以及标签、标志、包装、运输和贮存的要求。</w:t>
      </w:r>
    </w:p>
    <w:p w14:paraId="2CDDCA6E">
      <w:pPr>
        <w:pStyle w:val="56"/>
        <w:ind w:firstLine="420"/>
      </w:pPr>
      <w:r>
        <w:rPr>
          <w:rFonts w:hint="eastAsia"/>
        </w:rPr>
        <w:t>本文件适用于原国家质量监督检验检疫总局[2008]第103号公告批准保护的地理标志产品府谷海红果。</w:t>
      </w:r>
    </w:p>
    <w:p w14:paraId="664BF127">
      <w:pPr>
        <w:pStyle w:val="104"/>
        <w:spacing w:before="312" w:after="312"/>
      </w:pPr>
      <w:bookmarkStart w:id="38" w:name="_Toc97191424"/>
      <w:bookmarkStart w:id="39" w:name="_Toc26986772"/>
      <w:bookmarkStart w:id="40" w:name="_Toc26718931"/>
      <w:bookmarkStart w:id="41" w:name="_Toc26986531"/>
      <w:bookmarkStart w:id="42" w:name="_Toc198566127"/>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F4D3A6C7BC944059A9845FB57B775F5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E45147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05F4AF">
      <w:pPr>
        <w:pStyle w:val="56"/>
        <w:ind w:firstLine="420"/>
      </w:pPr>
      <w:r>
        <w:rPr>
          <w:rFonts w:hint="eastAsia"/>
        </w:rPr>
        <w:t xml:space="preserve">GB 2762   </w:t>
      </w:r>
      <w:r>
        <w:t xml:space="preserve"> </w:t>
      </w:r>
      <w:r>
        <w:rPr>
          <w:rFonts w:hint="eastAsia"/>
        </w:rPr>
        <w:t xml:space="preserve"> 食品安全国家标准 食品中污染物限量</w:t>
      </w:r>
    </w:p>
    <w:p w14:paraId="20751BEC">
      <w:pPr>
        <w:pStyle w:val="56"/>
        <w:ind w:firstLine="420"/>
      </w:pPr>
      <w:r>
        <w:rPr>
          <w:rFonts w:hint="eastAsia"/>
        </w:rPr>
        <w:t xml:space="preserve">GB 2763    </w:t>
      </w:r>
      <w:r>
        <w:t xml:space="preserve"> </w:t>
      </w:r>
      <w:r>
        <w:rPr>
          <w:rFonts w:hint="eastAsia"/>
        </w:rPr>
        <w:t>食品安全国家标准 食品中农药最大残留限量</w:t>
      </w:r>
    </w:p>
    <w:p w14:paraId="00FB0D66">
      <w:pPr>
        <w:pStyle w:val="56"/>
        <w:ind w:firstLine="420"/>
      </w:pPr>
      <w:r>
        <w:rPr>
          <w:rFonts w:hint="eastAsia"/>
        </w:rPr>
        <w:t xml:space="preserve">GB 5009.3  </w:t>
      </w:r>
      <w:r>
        <w:t xml:space="preserve"> </w:t>
      </w:r>
      <w:r>
        <w:rPr>
          <w:rFonts w:hint="eastAsia"/>
        </w:rPr>
        <w:t>食品安全国家标准 食品中水分的测定</w:t>
      </w:r>
    </w:p>
    <w:p w14:paraId="569E990E">
      <w:pPr>
        <w:pStyle w:val="56"/>
        <w:ind w:firstLine="420"/>
      </w:pPr>
      <w:r>
        <w:rPr>
          <w:rFonts w:hint="eastAsia"/>
        </w:rPr>
        <w:t xml:space="preserve">GB 5009.92 </w:t>
      </w:r>
      <w:r>
        <w:t xml:space="preserve"> </w:t>
      </w:r>
      <w:r>
        <w:rPr>
          <w:rFonts w:hint="eastAsia"/>
        </w:rPr>
        <w:t>食品安全国家标准 食品中钙的测定</w:t>
      </w:r>
    </w:p>
    <w:p w14:paraId="28FEB0FE">
      <w:pPr>
        <w:pStyle w:val="56"/>
        <w:ind w:firstLine="420"/>
      </w:pPr>
      <w:r>
        <w:rPr>
          <w:rFonts w:hint="eastAsia"/>
        </w:rPr>
        <w:t xml:space="preserve">GB 12456   </w:t>
      </w:r>
      <w:r>
        <w:t xml:space="preserve"> </w:t>
      </w:r>
      <w:r>
        <w:rPr>
          <w:rFonts w:hint="eastAsia"/>
        </w:rPr>
        <w:t>食品安全国家标准 食品中总酸的测定</w:t>
      </w:r>
    </w:p>
    <w:p w14:paraId="079C7E8B">
      <w:pPr>
        <w:pStyle w:val="56"/>
        <w:ind w:firstLine="420"/>
      </w:pPr>
      <w:r>
        <w:rPr>
          <w:rFonts w:hint="eastAsia"/>
        </w:rPr>
        <w:t xml:space="preserve">NY/T 2637  </w:t>
      </w:r>
      <w:r>
        <w:t xml:space="preserve"> </w:t>
      </w:r>
      <w:r>
        <w:rPr>
          <w:rFonts w:hint="eastAsia"/>
        </w:rPr>
        <w:t xml:space="preserve">水果和蔬菜可溶性固形物含量的测定 </w:t>
      </w:r>
    </w:p>
    <w:p w14:paraId="477CC00E">
      <w:pPr>
        <w:pStyle w:val="56"/>
        <w:ind w:firstLine="420"/>
      </w:pPr>
      <w:r>
        <w:rPr>
          <w:rFonts w:hint="eastAsia"/>
        </w:rPr>
        <w:t>《地理标志专用标志使用管理办法（试行）》 国家知识产权局[第354号]公告</w:t>
      </w:r>
    </w:p>
    <w:p w14:paraId="60068548">
      <w:pPr>
        <w:pStyle w:val="104"/>
        <w:spacing w:before="312" w:after="312"/>
      </w:pPr>
      <w:bookmarkStart w:id="43" w:name="_Toc97191425"/>
      <w:bookmarkStart w:id="44" w:name="_Toc198566128"/>
      <w:r>
        <w:rPr>
          <w:rFonts w:hint="eastAsia"/>
          <w:szCs w:val="21"/>
        </w:rPr>
        <w:t>术语和定义</w:t>
      </w:r>
      <w:bookmarkEnd w:id="43"/>
      <w:bookmarkEnd w:id="44"/>
    </w:p>
    <w:sdt>
      <w:sdtPr>
        <w:id w:val="-1909835108"/>
        <w:placeholder>
          <w:docPart w:val="E73765D0464441E59BE78936EAAF359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F5FE518">
          <w:pPr>
            <w:pStyle w:val="56"/>
            <w:ind w:firstLine="420"/>
          </w:pPr>
          <w:bookmarkStart w:id="45" w:name="_Toc26986532"/>
          <w:bookmarkEnd w:id="45"/>
          <w:r>
            <w:t>下列术语和定义适用于本文件。</w:t>
          </w:r>
        </w:p>
      </w:sdtContent>
    </w:sdt>
    <w:p w14:paraId="259D1DE7">
      <w:pPr>
        <w:pStyle w:val="223"/>
        <w:ind w:left="420" w:hanging="420" w:hangingChars="200"/>
      </w:pPr>
    </w:p>
    <w:p w14:paraId="5DF50F42">
      <w:pPr>
        <w:pStyle w:val="223"/>
        <w:numPr>
          <w:ilvl w:val="0"/>
          <w:numId w:val="0"/>
        </w:numPr>
        <w:ind w:left="420"/>
        <w:rPr>
          <w:rFonts w:ascii="黑体" w:hAnsi="黑体" w:eastAsia="黑体"/>
        </w:rPr>
      </w:pPr>
      <w:r>
        <w:rPr>
          <w:rFonts w:hint="eastAsia" w:ascii="黑体" w:hAnsi="黑体" w:eastAsia="黑体"/>
        </w:rPr>
        <w:t xml:space="preserve">府谷海红果 Fugu Haihong Fruit </w:t>
      </w:r>
    </w:p>
    <w:p w14:paraId="5F51D5A9">
      <w:pPr>
        <w:pStyle w:val="56"/>
        <w:ind w:firstLine="420"/>
      </w:pPr>
      <w:r>
        <w:rPr>
          <w:rFonts w:hint="eastAsia"/>
        </w:rPr>
        <w:t>蔷薇科苹果属，在府谷现辖行政区国家地理标志产品保护范围内，按本文件技术要求种植生产的，成熟时果皮呈深红色至紫红色，质地脆韧，酸甜适口，具独特芳香等特点的海红果品种。</w:t>
      </w:r>
    </w:p>
    <w:p w14:paraId="3483C4BC">
      <w:pPr>
        <w:pStyle w:val="223"/>
        <w:ind w:left="420" w:hanging="420" w:hangingChars="200"/>
      </w:pPr>
    </w:p>
    <w:p w14:paraId="272805C9">
      <w:pPr>
        <w:pStyle w:val="223"/>
        <w:numPr>
          <w:ilvl w:val="0"/>
          <w:numId w:val="0"/>
        </w:numPr>
        <w:ind w:left="420"/>
        <w:rPr>
          <w:rFonts w:ascii="黑体" w:hAnsi="黑体" w:eastAsia="黑体"/>
        </w:rPr>
      </w:pPr>
      <w:r>
        <w:rPr>
          <w:rFonts w:hint="eastAsia" w:ascii="黑体" w:hAnsi="黑体" w:eastAsia="黑体"/>
        </w:rPr>
        <w:t>碰压伤 bruising</w:t>
      </w:r>
    </w:p>
    <w:p w14:paraId="0C160098">
      <w:pPr>
        <w:pStyle w:val="56"/>
        <w:ind w:firstLine="420"/>
      </w:pPr>
      <w:r>
        <w:rPr>
          <w:rFonts w:hint="eastAsia"/>
        </w:rPr>
        <w:t>果实因碰撞或受压造成的损伤。</w:t>
      </w:r>
    </w:p>
    <w:p w14:paraId="29E79355">
      <w:pPr>
        <w:pStyle w:val="223"/>
        <w:ind w:left="420" w:hanging="420" w:hangingChars="200"/>
        <w:rPr>
          <w:rFonts w:ascii="黑体" w:hAnsi="黑体" w:eastAsia="黑体"/>
        </w:rPr>
      </w:pPr>
    </w:p>
    <w:p w14:paraId="1454DC67">
      <w:pPr>
        <w:pStyle w:val="223"/>
        <w:numPr>
          <w:ilvl w:val="0"/>
          <w:numId w:val="0"/>
        </w:numPr>
        <w:ind w:left="420"/>
        <w:rPr>
          <w:rFonts w:ascii="黑体" w:hAnsi="黑体" w:eastAsia="黑体"/>
        </w:rPr>
      </w:pPr>
      <w:r>
        <w:rPr>
          <w:rFonts w:hint="eastAsia" w:ascii="黑体" w:hAnsi="黑体" w:eastAsia="黑体"/>
        </w:rPr>
        <w:t xml:space="preserve">轻微碰压伤 </w:t>
      </w:r>
      <w:r>
        <w:rPr>
          <w:rFonts w:ascii="黑体" w:hAnsi="黑体" w:eastAsia="黑体"/>
        </w:rPr>
        <w:t>s</w:t>
      </w:r>
      <w:r>
        <w:rPr>
          <w:rFonts w:hint="eastAsia" w:ascii="黑体" w:hAnsi="黑体" w:eastAsia="黑体"/>
        </w:rPr>
        <w:t>light bruising</w:t>
      </w:r>
    </w:p>
    <w:p w14:paraId="103DD382">
      <w:pPr>
        <w:pStyle w:val="56"/>
        <w:ind w:firstLine="420"/>
      </w:pPr>
      <w:r>
        <w:rPr>
          <w:rFonts w:hint="eastAsia"/>
        </w:rPr>
        <w:t>果皮伤处未破，伤面轻微凹陷，无汁液外溢。</w:t>
      </w:r>
    </w:p>
    <w:p w14:paraId="724CEC60">
      <w:pPr>
        <w:pStyle w:val="223"/>
        <w:ind w:left="420" w:hanging="420" w:hangingChars="200"/>
        <w:rPr>
          <w:rFonts w:ascii="黑体" w:hAnsi="黑体" w:eastAsia="黑体"/>
        </w:rPr>
      </w:pPr>
    </w:p>
    <w:p w14:paraId="18A19089">
      <w:pPr>
        <w:pStyle w:val="223"/>
        <w:numPr>
          <w:ilvl w:val="0"/>
          <w:numId w:val="0"/>
        </w:numPr>
        <w:ind w:left="420"/>
        <w:rPr>
          <w:rFonts w:ascii="黑体" w:hAnsi="黑体" w:eastAsia="黑体"/>
        </w:rPr>
      </w:pPr>
      <w:r>
        <w:rPr>
          <w:rFonts w:hint="eastAsia" w:ascii="黑体" w:hAnsi="黑体" w:eastAsia="黑体"/>
        </w:rPr>
        <w:t>日灼 sunburn</w:t>
      </w:r>
    </w:p>
    <w:p w14:paraId="2D4F9624">
      <w:pPr>
        <w:pStyle w:val="56"/>
        <w:ind w:firstLine="420"/>
      </w:pPr>
      <w:r>
        <w:rPr>
          <w:rFonts w:hint="eastAsia"/>
        </w:rPr>
        <w:t>果面局部因强烈日光照射和高温而形成的变色斑块或黑色坏死。</w:t>
      </w:r>
    </w:p>
    <w:p w14:paraId="1C67BDBF">
      <w:pPr>
        <w:pStyle w:val="223"/>
        <w:ind w:left="420" w:hanging="420" w:hangingChars="200"/>
        <w:rPr>
          <w:rFonts w:ascii="黑体" w:hAnsi="黑体" w:eastAsia="黑体"/>
        </w:rPr>
      </w:pPr>
    </w:p>
    <w:p w14:paraId="18FBDA78">
      <w:pPr>
        <w:pStyle w:val="223"/>
        <w:numPr>
          <w:ilvl w:val="0"/>
          <w:numId w:val="0"/>
        </w:numPr>
        <w:ind w:left="420"/>
        <w:rPr>
          <w:rFonts w:ascii="黑体" w:hAnsi="黑体" w:eastAsia="黑体"/>
        </w:rPr>
      </w:pPr>
      <w:r>
        <w:rPr>
          <w:rFonts w:hint="eastAsia" w:ascii="黑体" w:hAnsi="黑体" w:eastAsia="黑体"/>
        </w:rPr>
        <w:t>轻微日灼 slight sunburn</w:t>
      </w:r>
    </w:p>
    <w:p w14:paraId="2E43D213">
      <w:pPr>
        <w:pStyle w:val="56"/>
        <w:ind w:firstLine="420"/>
      </w:pPr>
      <w:r>
        <w:rPr>
          <w:rFonts w:hint="eastAsia"/>
        </w:rPr>
        <w:t>果实局部因日灼呈黄褐色斑块。</w:t>
      </w:r>
    </w:p>
    <w:p w14:paraId="76D2C93B">
      <w:pPr>
        <w:pStyle w:val="223"/>
        <w:ind w:left="420" w:hanging="420" w:hangingChars="200"/>
        <w:rPr>
          <w:rFonts w:ascii="黑体" w:hAnsi="黑体" w:eastAsia="黑体"/>
        </w:rPr>
      </w:pPr>
    </w:p>
    <w:p w14:paraId="784C3BEF">
      <w:pPr>
        <w:pStyle w:val="223"/>
        <w:numPr>
          <w:ilvl w:val="0"/>
          <w:numId w:val="0"/>
        </w:numPr>
        <w:ind w:left="420"/>
        <w:rPr>
          <w:rFonts w:ascii="黑体" w:hAnsi="黑体" w:eastAsia="黑体"/>
        </w:rPr>
      </w:pPr>
      <w:r>
        <w:rPr>
          <w:rFonts w:hint="eastAsia" w:ascii="黑体" w:hAnsi="黑体" w:eastAsia="黑体"/>
        </w:rPr>
        <w:t>果锈 fruit russeting</w:t>
      </w:r>
    </w:p>
    <w:p w14:paraId="4633D60D">
      <w:pPr>
        <w:pStyle w:val="56"/>
        <w:ind w:firstLine="420"/>
      </w:pPr>
      <w:r>
        <w:rPr>
          <w:rFonts w:hint="eastAsia"/>
        </w:rPr>
        <w:t>果面上形成的无光泽的暗褐色木栓化薄层或点状物。</w:t>
      </w:r>
    </w:p>
    <w:p w14:paraId="443E4307">
      <w:pPr>
        <w:pStyle w:val="223"/>
        <w:ind w:left="420" w:hanging="420" w:hangingChars="200"/>
        <w:rPr>
          <w:rFonts w:ascii="黑体" w:hAnsi="黑体" w:eastAsia="黑体"/>
        </w:rPr>
      </w:pPr>
    </w:p>
    <w:p w14:paraId="6C82BD53">
      <w:pPr>
        <w:pStyle w:val="223"/>
        <w:numPr>
          <w:ilvl w:val="0"/>
          <w:numId w:val="0"/>
        </w:numPr>
        <w:ind w:left="420"/>
        <w:rPr>
          <w:rFonts w:ascii="黑体" w:hAnsi="黑体" w:eastAsia="黑体"/>
        </w:rPr>
      </w:pPr>
      <w:r>
        <w:rPr>
          <w:rFonts w:hint="eastAsia" w:ascii="黑体" w:hAnsi="黑体" w:eastAsia="黑体"/>
        </w:rPr>
        <w:t>容许度 tolerance</w:t>
      </w:r>
    </w:p>
    <w:p w14:paraId="5B50DEE7">
      <w:pPr>
        <w:pStyle w:val="56"/>
        <w:ind w:firstLine="420"/>
      </w:pPr>
      <w:r>
        <w:rPr>
          <w:rFonts w:hint="eastAsia"/>
        </w:rPr>
        <w:t>低于本等级质量的容许程度，以百分率表示。</w:t>
      </w:r>
    </w:p>
    <w:p w14:paraId="58D6CB92">
      <w:pPr>
        <w:pStyle w:val="104"/>
        <w:spacing w:before="312" w:after="312"/>
        <w:rPr>
          <w:spacing w:val="6"/>
          <w:szCs w:val="21"/>
        </w:rPr>
      </w:pPr>
      <w:bookmarkStart w:id="46" w:name="_Toc198566129"/>
      <w:r>
        <w:rPr>
          <w:rFonts w:hint="eastAsia"/>
        </w:rPr>
        <w:t>保护范围</w:t>
      </w:r>
      <w:bookmarkEnd w:id="46"/>
    </w:p>
    <w:p w14:paraId="12A7DC4D">
      <w:pPr>
        <w:pStyle w:val="56"/>
        <w:ind w:firstLine="420"/>
        <w:rPr>
          <w:rFonts w:ascii="黑体" w:hAnsi="黑体" w:eastAsia="黑体" w:cs="黑体"/>
        </w:rPr>
      </w:pPr>
      <w:r>
        <w:rPr>
          <w:rFonts w:hint="eastAsia"/>
        </w:rPr>
        <w:t>府谷海红果地理标志产品保护范围以原国家质量监督检验检疫总局公告2008年第103号规定的范围为准，为陕西省府谷县现辖行政区域。府谷海红果地理标志产品保护范围见附录A。</w:t>
      </w:r>
    </w:p>
    <w:p w14:paraId="1CED24A5">
      <w:pPr>
        <w:pStyle w:val="104"/>
        <w:spacing w:before="312" w:after="312"/>
        <w:rPr>
          <w:spacing w:val="6"/>
          <w:szCs w:val="21"/>
        </w:rPr>
      </w:pPr>
      <w:bookmarkStart w:id="47" w:name="_Toc198566130"/>
      <w:r>
        <w:rPr>
          <w:rFonts w:hint="eastAsia"/>
        </w:rPr>
        <w:t>种植要求</w:t>
      </w:r>
      <w:bookmarkEnd w:id="47"/>
    </w:p>
    <w:p w14:paraId="030A50CA">
      <w:pPr>
        <w:pStyle w:val="105"/>
        <w:spacing w:before="156" w:after="156"/>
        <w:rPr>
          <w:spacing w:val="6"/>
          <w:szCs w:val="21"/>
        </w:rPr>
      </w:pPr>
      <w:r>
        <w:rPr>
          <w:rFonts w:hint="eastAsia"/>
        </w:rPr>
        <w:t>品种</w:t>
      </w:r>
    </w:p>
    <w:p w14:paraId="55439ED2">
      <w:pPr>
        <w:pStyle w:val="56"/>
        <w:ind w:firstLine="420"/>
        <w:rPr>
          <w:rFonts w:ascii="黑体" w:hAnsi="黑体" w:eastAsia="黑体" w:cs="黑体"/>
        </w:rPr>
      </w:pPr>
      <w:r>
        <w:rPr>
          <w:rFonts w:hint="eastAsia"/>
        </w:rPr>
        <w:t>选择适合当地的优良海红果品种。</w:t>
      </w:r>
    </w:p>
    <w:p w14:paraId="52F322A5">
      <w:pPr>
        <w:pStyle w:val="105"/>
        <w:spacing w:before="156" w:after="156"/>
        <w:rPr>
          <w:spacing w:val="6"/>
          <w:szCs w:val="21"/>
        </w:rPr>
      </w:pPr>
      <w:r>
        <w:rPr>
          <w:rFonts w:hint="eastAsia"/>
        </w:rPr>
        <w:t>立地条件</w:t>
      </w:r>
    </w:p>
    <w:p w14:paraId="7FAE0FDD">
      <w:pPr>
        <w:pStyle w:val="56"/>
        <w:ind w:firstLine="420"/>
        <w:rPr>
          <w:rFonts w:ascii="黑体" w:hAnsi="黑体" w:eastAsia="黑体" w:cs="黑体"/>
        </w:rPr>
      </w:pPr>
      <w:r>
        <w:rPr>
          <w:rFonts w:hint="eastAsia"/>
        </w:rPr>
        <w:t>宜在质地疏松、排水良好、土地厚度大于2m的沙壤土和黄绵土。有机质含量≥0.8%。</w:t>
      </w:r>
    </w:p>
    <w:p w14:paraId="19211DD3">
      <w:pPr>
        <w:pStyle w:val="105"/>
        <w:spacing w:before="156" w:after="156"/>
        <w:rPr>
          <w:spacing w:val="6"/>
          <w:szCs w:val="21"/>
        </w:rPr>
      </w:pPr>
      <w:r>
        <w:rPr>
          <w:rFonts w:hint="eastAsia"/>
        </w:rPr>
        <w:t>自然环境</w:t>
      </w:r>
    </w:p>
    <w:p w14:paraId="5C1C9D8B">
      <w:pPr>
        <w:pStyle w:val="56"/>
        <w:ind w:firstLine="420"/>
        <w:rPr>
          <w:rFonts w:ascii="黑体" w:hAnsi="黑体" w:eastAsia="黑体" w:cs="黑体"/>
        </w:rPr>
      </w:pPr>
      <w:r>
        <w:rPr>
          <w:rFonts w:hint="eastAsia"/>
        </w:rPr>
        <w:t>本文件的保护范围属于温带大陆性季风气候，地处黄土高原东北部，海拔高度800至1100米之间，年日照时数约2800至3000小时，年平均降水量约450mm,无霜期较短，约160天，光照充足，有利于海红果的生长发育，形成独特风味。</w:t>
      </w:r>
    </w:p>
    <w:p w14:paraId="011BF91D">
      <w:pPr>
        <w:pStyle w:val="105"/>
        <w:spacing w:before="156" w:after="156"/>
        <w:rPr>
          <w:spacing w:val="6"/>
          <w:szCs w:val="21"/>
        </w:rPr>
      </w:pPr>
      <w:r>
        <w:rPr>
          <w:rFonts w:hint="eastAsia"/>
        </w:rPr>
        <w:t>苗木培育</w:t>
      </w:r>
    </w:p>
    <w:p w14:paraId="0CE2C9DE">
      <w:pPr>
        <w:pStyle w:val="56"/>
        <w:ind w:firstLine="420"/>
        <w:rPr>
          <w:rFonts w:ascii="黑体" w:hAnsi="黑体" w:eastAsia="黑体" w:cs="黑体"/>
        </w:rPr>
      </w:pPr>
      <w:r>
        <w:rPr>
          <w:rFonts w:hint="eastAsia"/>
        </w:rPr>
        <w:t>以黄龙山定子或新疆野苹果为砧木，从生长健壮、无检疫性病虫害、品质优良的母株上采集接穗进行嫁接繁殖。</w:t>
      </w:r>
    </w:p>
    <w:p w14:paraId="42113CCB">
      <w:pPr>
        <w:pStyle w:val="105"/>
        <w:spacing w:before="156" w:after="156"/>
        <w:rPr>
          <w:spacing w:val="6"/>
          <w:szCs w:val="21"/>
        </w:rPr>
      </w:pPr>
      <w:r>
        <w:rPr>
          <w:rFonts w:hint="eastAsia"/>
        </w:rPr>
        <w:t>栽培管理</w:t>
      </w:r>
    </w:p>
    <w:p w14:paraId="5399FDB3">
      <w:pPr>
        <w:pStyle w:val="65"/>
        <w:spacing w:before="156" w:after="156"/>
      </w:pPr>
      <w:r>
        <w:rPr>
          <w:rFonts w:hint="eastAsia"/>
        </w:rPr>
        <w:t>栽植</w:t>
      </w:r>
    </w:p>
    <w:p w14:paraId="2AEF75FB">
      <w:pPr>
        <w:pStyle w:val="94"/>
        <w:spacing w:before="156" w:after="156"/>
        <w:rPr>
          <w:spacing w:val="8"/>
          <w:szCs w:val="21"/>
        </w:rPr>
      </w:pPr>
      <w:r>
        <w:rPr>
          <w:rFonts w:hint="eastAsia"/>
        </w:rPr>
        <w:t>栽植时间</w:t>
      </w:r>
    </w:p>
    <w:p w14:paraId="2A8F54C0">
      <w:pPr>
        <w:pStyle w:val="56"/>
        <w:ind w:firstLine="420"/>
      </w:pPr>
      <w:r>
        <w:rPr>
          <w:rFonts w:hint="eastAsia"/>
        </w:rPr>
        <w:t>春栽或秋栽。春栽期为土壤解冻到发芽期,秋栽期为9月下旬到10月上旬。</w:t>
      </w:r>
    </w:p>
    <w:p w14:paraId="23FAFB65">
      <w:pPr>
        <w:pStyle w:val="94"/>
        <w:spacing w:before="156" w:after="156"/>
        <w:rPr>
          <w:spacing w:val="8"/>
          <w:szCs w:val="21"/>
        </w:rPr>
      </w:pPr>
      <w:r>
        <w:rPr>
          <w:rFonts w:hint="eastAsia"/>
        </w:rPr>
        <w:t>栽植密度</w:t>
      </w:r>
    </w:p>
    <w:p w14:paraId="4D653214">
      <w:pPr>
        <w:pStyle w:val="56"/>
        <w:ind w:firstLine="420"/>
      </w:pPr>
      <w:r>
        <w:t>乔砧栽植株数</w:t>
      </w:r>
      <w:r>
        <w:rPr>
          <w:rFonts w:hint="eastAsia" w:hAnsi="宋体" w:cs="黑体"/>
          <w:snapToGrid w:val="0"/>
          <w:color w:val="000000"/>
          <w:spacing w:val="6"/>
        </w:rPr>
        <w:t>≤</w:t>
      </w:r>
      <w:r>
        <w:t>660株/公顷,矮化砧栽植株数</w:t>
      </w:r>
      <w:r>
        <w:rPr>
          <w:rFonts w:hint="eastAsia" w:hAnsi="宋体" w:cs="黑体"/>
          <w:snapToGrid w:val="0"/>
          <w:color w:val="000000"/>
          <w:spacing w:val="6"/>
        </w:rPr>
        <w:t>≤</w:t>
      </w:r>
      <w:r>
        <w:t>1240株/公顷。</w:t>
      </w:r>
    </w:p>
    <w:p w14:paraId="64955442">
      <w:pPr>
        <w:pStyle w:val="65"/>
        <w:spacing w:before="156" w:after="156"/>
      </w:pPr>
      <w:r>
        <w:t>土肥水管理</w:t>
      </w:r>
    </w:p>
    <w:p w14:paraId="29B7CD99">
      <w:pPr>
        <w:pStyle w:val="94"/>
        <w:spacing w:before="156" w:after="156"/>
      </w:pPr>
      <w:r>
        <w:t>土壤管理</w:t>
      </w:r>
    </w:p>
    <w:p w14:paraId="1E57A08F">
      <w:pPr>
        <w:pStyle w:val="56"/>
        <w:ind w:firstLine="420"/>
      </w:pPr>
      <w:r>
        <w:t>秋季结合施基肥进行深翻改土，春季施肥后进行覆盖和埋草以提高土壤肥力。</w:t>
      </w:r>
    </w:p>
    <w:p w14:paraId="165CC64B">
      <w:pPr>
        <w:pStyle w:val="94"/>
        <w:spacing w:before="156" w:after="156"/>
      </w:pPr>
      <w:r>
        <w:t>肥水管理</w:t>
      </w:r>
    </w:p>
    <w:p w14:paraId="573A822B">
      <w:pPr>
        <w:pStyle w:val="56"/>
        <w:ind w:firstLine="420"/>
      </w:pPr>
      <w:r>
        <w:t>以有机肥料为主，化学肥料为辅，适时进行叶面喷肥。有机肥料盛果期</w:t>
      </w:r>
      <w:r>
        <w:rPr>
          <w:rFonts w:hint="eastAsia" w:hAnsi="宋体" w:cs="黑体"/>
          <w:snapToGrid w:val="0"/>
          <w:color w:val="000000"/>
          <w:spacing w:val="6"/>
        </w:rPr>
        <w:t>≥</w:t>
      </w:r>
      <w:r>
        <w:t>13吨/公顷，视土壤墒情适时灌水。</w:t>
      </w:r>
    </w:p>
    <w:p w14:paraId="0EDE95AB">
      <w:pPr>
        <w:pStyle w:val="65"/>
        <w:spacing w:before="156" w:after="156"/>
        <w:rPr>
          <w:position w:val="1"/>
          <w:sz w:val="20"/>
        </w:rPr>
      </w:pPr>
      <w:r>
        <w:t>整形修剪</w:t>
      </w:r>
    </w:p>
    <w:p w14:paraId="6E21E5AB">
      <w:pPr>
        <w:pStyle w:val="56"/>
        <w:ind w:firstLine="420"/>
      </w:pPr>
      <w:r>
        <w:rPr>
          <w:snapToGrid w:val="0"/>
        </w:rPr>
        <w:t>树形为小冠疏层形和自然园头形。冬季修剪和夏季修剪相结合，确保树体通风透光。通过修剪，保证其叶果比为3至4</w:t>
      </w:r>
      <w:r>
        <w:rPr>
          <w:rFonts w:hint="eastAsia"/>
          <w:snapToGrid w:val="0"/>
          <w:lang w:val="en-US" w:eastAsia="zh-CN"/>
        </w:rPr>
        <w:t>:</w:t>
      </w:r>
      <w:r>
        <w:rPr>
          <w:snapToGrid w:val="0"/>
        </w:rPr>
        <w:t>1。</w:t>
      </w:r>
    </w:p>
    <w:p w14:paraId="101F5A1A">
      <w:pPr>
        <w:pStyle w:val="65"/>
        <w:spacing w:before="156" w:after="156"/>
      </w:pPr>
      <w:r>
        <w:t>花果管理</w:t>
      </w:r>
    </w:p>
    <w:p w14:paraId="2F341508">
      <w:pPr>
        <w:pStyle w:val="56"/>
        <w:ind w:firstLine="420"/>
      </w:pPr>
      <w:r>
        <w:rPr>
          <w:snapToGrid w:val="0"/>
        </w:rPr>
        <w:t>疏花疏果，合理负荷，每花序留果2~3个，每公顷产量</w:t>
      </w:r>
      <w:r>
        <w:rPr>
          <w:rFonts w:hint="eastAsia" w:hAnsi="宋体" w:cs="黑体"/>
          <w:snapToGrid w:val="0"/>
          <w:color w:val="000000"/>
          <w:spacing w:val="6"/>
        </w:rPr>
        <w:t>≤</w:t>
      </w:r>
      <w:r>
        <w:rPr>
          <w:snapToGrid w:val="0"/>
        </w:rPr>
        <w:t>60吨。</w:t>
      </w:r>
    </w:p>
    <w:p w14:paraId="3DDE6104">
      <w:pPr>
        <w:pStyle w:val="65"/>
        <w:spacing w:before="156" w:after="156"/>
      </w:pPr>
      <w:r>
        <w:t>环境、安全要求</w:t>
      </w:r>
    </w:p>
    <w:p w14:paraId="357341CE">
      <w:pPr>
        <w:pStyle w:val="56"/>
        <w:ind w:firstLine="420"/>
      </w:pPr>
      <w:r>
        <w:rPr>
          <w:snapToGrid w:val="0"/>
        </w:rPr>
        <w:t>农药、化肥等的使用应符合国家的相关规定，不得污染环境。适时播种。陕北地区一般最早在谷雨后即可种植。</w:t>
      </w:r>
    </w:p>
    <w:p w14:paraId="771A0A1A">
      <w:pPr>
        <w:pStyle w:val="65"/>
        <w:spacing w:before="156" w:after="156"/>
      </w:pPr>
      <w:r>
        <w:rPr>
          <w:rFonts w:hint="eastAsia"/>
        </w:rPr>
        <w:t>病虫害防治</w:t>
      </w:r>
    </w:p>
    <w:p w14:paraId="1F6FCAFD">
      <w:pPr>
        <w:pStyle w:val="56"/>
        <w:ind w:firstLine="420"/>
      </w:pPr>
      <w:r>
        <w:rPr>
          <w:rFonts w:hint="eastAsia"/>
          <w:snapToGrid w:val="0"/>
        </w:rPr>
        <w:t>病虫害防治应贯彻“预防为主、综合防治”的植保方针。提倡生物防治和物理防治，根据病虫害发生规律，科学合理采用化学防治技术。</w:t>
      </w:r>
    </w:p>
    <w:p w14:paraId="444D7744">
      <w:pPr>
        <w:pStyle w:val="105"/>
        <w:spacing w:before="156" w:after="156"/>
        <w:rPr>
          <w:rFonts w:ascii="宋体" w:hAnsi="宋体" w:eastAsia="宋体" w:cs="宋体"/>
          <w:spacing w:val="8"/>
        </w:rPr>
      </w:pPr>
      <w:r>
        <w:rPr>
          <w:rFonts w:hint="eastAsia"/>
        </w:rPr>
        <w:t>果实采收</w:t>
      </w:r>
    </w:p>
    <w:p w14:paraId="3DBB176B">
      <w:pPr>
        <w:pStyle w:val="56"/>
        <w:ind w:firstLine="420"/>
      </w:pPr>
      <w:r>
        <w:rPr>
          <w:rFonts w:hint="eastAsia"/>
          <w:snapToGrid w:val="0"/>
        </w:rPr>
        <w:t>采收时间一般在9月中下旬，宜晴天采收，采果时应避免机械损伤。</w:t>
      </w:r>
    </w:p>
    <w:p w14:paraId="1502372E">
      <w:pPr>
        <w:pStyle w:val="104"/>
        <w:spacing w:before="312" w:after="312"/>
      </w:pPr>
      <w:bookmarkStart w:id="48" w:name="_Toc198566131"/>
      <w:r>
        <w:rPr>
          <w:rFonts w:hint="eastAsia"/>
        </w:rPr>
        <w:t>质量要求</w:t>
      </w:r>
      <w:bookmarkEnd w:id="48"/>
    </w:p>
    <w:p w14:paraId="1CBE0CF9">
      <w:pPr>
        <w:pStyle w:val="105"/>
        <w:spacing w:before="156" w:after="156"/>
      </w:pPr>
      <w:r>
        <w:rPr>
          <w:rFonts w:hint="eastAsia"/>
        </w:rPr>
        <w:t>感官指标</w:t>
      </w:r>
    </w:p>
    <w:p w14:paraId="4924B9D8">
      <w:pPr>
        <w:pStyle w:val="56"/>
        <w:ind w:firstLine="420"/>
      </w:pPr>
      <w:r>
        <w:rPr>
          <w:rFonts w:hint="eastAsia"/>
          <w:snapToGrid w:val="0"/>
        </w:rPr>
        <w:t>感官指标应符合表1规定。</w:t>
      </w:r>
    </w:p>
    <w:p w14:paraId="3EADEC6A">
      <w:pPr>
        <w:pStyle w:val="112"/>
        <w:spacing w:before="156" w:after="156"/>
      </w:pPr>
      <w:r>
        <w:t>感官指标</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1593"/>
        <w:gridCol w:w="2213"/>
        <w:gridCol w:w="2464"/>
        <w:gridCol w:w="2688"/>
      </w:tblGrid>
      <w:tr w14:paraId="1CC1E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2" w:type="pct"/>
            <w:gridSpan w:val="2"/>
            <w:vMerge w:val="restart"/>
            <w:tcBorders>
              <w:top w:val="single" w:color="auto" w:sz="8" w:space="0"/>
              <w:bottom w:val="single" w:color="auto" w:sz="8" w:space="0"/>
            </w:tcBorders>
            <w:shd w:val="clear" w:color="auto" w:fill="auto"/>
            <w:vAlign w:val="center"/>
          </w:tcPr>
          <w:p w14:paraId="7E4CFBDF">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项目</w:t>
            </w:r>
          </w:p>
        </w:tc>
        <w:tc>
          <w:tcPr>
            <w:tcW w:w="3847" w:type="pct"/>
            <w:gridSpan w:val="3"/>
            <w:tcBorders>
              <w:bottom w:val="single" w:color="auto" w:sz="4" w:space="0"/>
            </w:tcBorders>
            <w:shd w:val="clear" w:color="auto" w:fill="auto"/>
            <w:vAlign w:val="center"/>
          </w:tcPr>
          <w:p w14:paraId="130DC5A4">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等级</w:t>
            </w:r>
          </w:p>
        </w:tc>
      </w:tr>
      <w:tr w14:paraId="5941A2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2" w:type="pct"/>
            <w:gridSpan w:val="2"/>
            <w:vMerge w:val="continue"/>
            <w:tcBorders>
              <w:top w:val="single" w:color="auto" w:sz="4" w:space="0"/>
              <w:bottom w:val="single" w:color="auto" w:sz="8" w:space="0"/>
            </w:tcBorders>
            <w:shd w:val="clear" w:color="auto" w:fill="auto"/>
            <w:vAlign w:val="center"/>
          </w:tcPr>
          <w:p w14:paraId="159F714C">
            <w:pPr>
              <w:spacing w:line="240" w:lineRule="auto"/>
              <w:jc w:val="center"/>
              <w:rPr>
                <w:rFonts w:ascii="宋体" w:hAnsi="宋体" w:cs="黑体"/>
                <w:spacing w:val="6"/>
                <w:sz w:val="18"/>
                <w:szCs w:val="20"/>
              </w:rPr>
            </w:pPr>
          </w:p>
        </w:tc>
        <w:tc>
          <w:tcPr>
            <w:tcW w:w="1156" w:type="pct"/>
            <w:tcBorders>
              <w:top w:val="single" w:color="auto" w:sz="4" w:space="0"/>
              <w:bottom w:val="single" w:color="auto" w:sz="8" w:space="0"/>
            </w:tcBorders>
            <w:shd w:val="clear" w:color="auto" w:fill="auto"/>
            <w:vAlign w:val="center"/>
          </w:tcPr>
          <w:p w14:paraId="7964CDB4">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特级</w:t>
            </w:r>
          </w:p>
        </w:tc>
        <w:tc>
          <w:tcPr>
            <w:tcW w:w="1287" w:type="pct"/>
            <w:tcBorders>
              <w:top w:val="single" w:color="auto" w:sz="4" w:space="0"/>
              <w:bottom w:val="single" w:color="auto" w:sz="8" w:space="0"/>
            </w:tcBorders>
            <w:shd w:val="clear" w:color="auto" w:fill="auto"/>
            <w:vAlign w:val="center"/>
          </w:tcPr>
          <w:p w14:paraId="7764258F">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一级</w:t>
            </w:r>
          </w:p>
        </w:tc>
        <w:tc>
          <w:tcPr>
            <w:tcW w:w="1403" w:type="pct"/>
            <w:tcBorders>
              <w:top w:val="single" w:color="auto" w:sz="4" w:space="0"/>
              <w:bottom w:val="single" w:color="auto" w:sz="8" w:space="0"/>
            </w:tcBorders>
            <w:shd w:val="clear" w:color="auto" w:fill="auto"/>
            <w:vAlign w:val="center"/>
          </w:tcPr>
          <w:p w14:paraId="69F55773">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二级</w:t>
            </w:r>
          </w:p>
        </w:tc>
      </w:tr>
      <w:tr w14:paraId="45B107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152" w:type="pct"/>
            <w:gridSpan w:val="2"/>
            <w:tcBorders>
              <w:top w:val="single" w:color="auto" w:sz="8" w:space="0"/>
            </w:tcBorders>
            <w:shd w:val="clear" w:color="auto" w:fill="auto"/>
            <w:vAlign w:val="center"/>
          </w:tcPr>
          <w:p w14:paraId="5C32897C">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基本要求</w:t>
            </w:r>
          </w:p>
        </w:tc>
        <w:tc>
          <w:tcPr>
            <w:tcW w:w="3847" w:type="pct"/>
            <w:gridSpan w:val="3"/>
            <w:tcBorders>
              <w:top w:val="single" w:color="auto" w:sz="8" w:space="0"/>
            </w:tcBorders>
            <w:shd w:val="clear" w:color="auto" w:fill="auto"/>
            <w:vAlign w:val="center"/>
          </w:tcPr>
          <w:p w14:paraId="57D43D2B">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果实完整，发育充分，无异味，具有本品种应具有的成熟度，果面新鲜。</w:t>
            </w:r>
          </w:p>
        </w:tc>
      </w:tr>
      <w:tr w14:paraId="02C621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1152" w:type="pct"/>
            <w:gridSpan w:val="2"/>
            <w:shd w:val="clear" w:color="auto" w:fill="auto"/>
            <w:vAlign w:val="center"/>
          </w:tcPr>
          <w:p w14:paraId="2163565C">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色泽</w:t>
            </w:r>
          </w:p>
        </w:tc>
        <w:tc>
          <w:tcPr>
            <w:tcW w:w="3847" w:type="pct"/>
            <w:gridSpan w:val="3"/>
            <w:shd w:val="clear" w:color="auto" w:fill="auto"/>
            <w:vAlign w:val="center"/>
          </w:tcPr>
          <w:p w14:paraId="6AF8DC6F">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果皮呈深红色，果粉厚，色泽艳丽</w:t>
            </w:r>
          </w:p>
        </w:tc>
      </w:tr>
      <w:tr w14:paraId="0E04FA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2" w:type="pct"/>
            <w:gridSpan w:val="2"/>
            <w:shd w:val="clear" w:color="auto" w:fill="auto"/>
            <w:vAlign w:val="center"/>
          </w:tcPr>
          <w:p w14:paraId="10354EB3">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果形</w:t>
            </w:r>
          </w:p>
        </w:tc>
        <w:tc>
          <w:tcPr>
            <w:tcW w:w="3847" w:type="pct"/>
            <w:gridSpan w:val="3"/>
            <w:shd w:val="clear" w:color="auto" w:fill="auto"/>
            <w:vAlign w:val="center"/>
          </w:tcPr>
          <w:p w14:paraId="2D74DC03">
            <w:pPr>
              <w:spacing w:line="240" w:lineRule="auto"/>
              <w:ind w:firstLine="384" w:firstLineChars="200"/>
              <w:rPr>
                <w:rFonts w:ascii="宋体" w:hAnsi="宋体" w:cs="黑体"/>
                <w:spacing w:val="6"/>
                <w:sz w:val="18"/>
                <w:szCs w:val="20"/>
              </w:rPr>
            </w:pPr>
            <w:r>
              <w:rPr>
                <w:rFonts w:hint="eastAsia" w:ascii="宋体" w:hAnsi="宋体" w:cs="黑体"/>
                <w:snapToGrid w:val="0"/>
                <w:color w:val="000000"/>
                <w:spacing w:val="6"/>
                <w:kern w:val="0"/>
                <w:sz w:val="18"/>
                <w:szCs w:val="20"/>
              </w:rPr>
              <w:t>具备本品种应有形状，萼片突出、果梗长，果实呈微斜形</w:t>
            </w:r>
          </w:p>
        </w:tc>
      </w:tr>
      <w:tr w14:paraId="21AB09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2" w:type="pct"/>
            <w:gridSpan w:val="2"/>
            <w:shd w:val="clear" w:color="auto" w:fill="auto"/>
            <w:vAlign w:val="center"/>
          </w:tcPr>
          <w:p w14:paraId="66D60DAC">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单果重，g</w:t>
            </w:r>
          </w:p>
        </w:tc>
        <w:tc>
          <w:tcPr>
            <w:tcW w:w="3847" w:type="pct"/>
            <w:gridSpan w:val="3"/>
            <w:shd w:val="clear" w:color="auto" w:fill="auto"/>
            <w:vAlign w:val="center"/>
          </w:tcPr>
          <w:p w14:paraId="739D0615">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≥10.5</w:t>
            </w:r>
          </w:p>
        </w:tc>
      </w:tr>
      <w:tr w14:paraId="6EA345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2" w:type="pct"/>
            <w:gridSpan w:val="2"/>
            <w:shd w:val="clear" w:color="auto" w:fill="auto"/>
            <w:vAlign w:val="center"/>
          </w:tcPr>
          <w:p w14:paraId="10780C23">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病虫果率</w:t>
            </w:r>
          </w:p>
        </w:tc>
        <w:tc>
          <w:tcPr>
            <w:tcW w:w="1156" w:type="pct"/>
            <w:shd w:val="clear" w:color="auto" w:fill="auto"/>
            <w:vAlign w:val="center"/>
          </w:tcPr>
          <w:p w14:paraId="7C77636D">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≤1%</w:t>
            </w:r>
            <w:r>
              <w:rPr>
                <w:rFonts w:hint="default" w:ascii="Times New Roman" w:hAnsi="Times New Roman" w:cs="Times New Roman"/>
                <w:snapToGrid w:val="0"/>
                <w:color w:val="000000"/>
                <w:spacing w:val="6"/>
                <w:kern w:val="0"/>
                <w:sz w:val="18"/>
                <w:szCs w:val="20"/>
              </w:rPr>
              <w:t>⁓</w:t>
            </w:r>
            <w:r>
              <w:rPr>
                <w:rFonts w:hint="eastAsia" w:ascii="宋体" w:hAnsi="宋体" w:cs="黑体"/>
                <w:snapToGrid w:val="0"/>
                <w:color w:val="000000"/>
                <w:spacing w:val="6"/>
                <w:kern w:val="0"/>
                <w:sz w:val="18"/>
                <w:szCs w:val="20"/>
              </w:rPr>
              <w:t>2%</w:t>
            </w:r>
          </w:p>
        </w:tc>
        <w:tc>
          <w:tcPr>
            <w:tcW w:w="1287" w:type="pct"/>
            <w:shd w:val="clear" w:color="auto" w:fill="auto"/>
            <w:vAlign w:val="center"/>
          </w:tcPr>
          <w:p w14:paraId="7B73BDB5">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≤3%</w:t>
            </w:r>
            <w:r>
              <w:rPr>
                <w:rFonts w:hint="default" w:ascii="Times New Roman" w:hAnsi="Times New Roman" w:cs="Times New Roman"/>
                <w:snapToGrid w:val="0"/>
                <w:color w:val="000000"/>
                <w:spacing w:val="6"/>
                <w:kern w:val="0"/>
                <w:sz w:val="18"/>
                <w:szCs w:val="20"/>
              </w:rPr>
              <w:t>⁓</w:t>
            </w:r>
            <w:r>
              <w:rPr>
                <w:rFonts w:hint="eastAsia" w:ascii="宋体" w:hAnsi="宋体" w:cs="黑体"/>
                <w:snapToGrid w:val="0"/>
                <w:color w:val="000000"/>
                <w:spacing w:val="6"/>
                <w:kern w:val="0"/>
                <w:sz w:val="18"/>
                <w:szCs w:val="20"/>
              </w:rPr>
              <w:t>5%</w:t>
            </w:r>
          </w:p>
        </w:tc>
        <w:tc>
          <w:tcPr>
            <w:tcW w:w="1403" w:type="pct"/>
            <w:shd w:val="clear" w:color="auto" w:fill="auto"/>
            <w:vAlign w:val="center"/>
          </w:tcPr>
          <w:p w14:paraId="03526C3A">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≤5%</w:t>
            </w:r>
            <w:r>
              <w:rPr>
                <w:rFonts w:hint="default" w:ascii="Times New Roman" w:hAnsi="Times New Roman" w:cs="Times New Roman"/>
                <w:snapToGrid w:val="0"/>
                <w:color w:val="000000"/>
                <w:spacing w:val="6"/>
                <w:kern w:val="0"/>
                <w:sz w:val="18"/>
                <w:szCs w:val="20"/>
              </w:rPr>
              <w:t>⁓</w:t>
            </w:r>
            <w:r>
              <w:rPr>
                <w:rFonts w:hint="eastAsia" w:ascii="宋体" w:hAnsi="宋体" w:cs="黑体"/>
                <w:snapToGrid w:val="0"/>
                <w:color w:val="000000"/>
                <w:spacing w:val="6"/>
                <w:kern w:val="0"/>
                <w:sz w:val="18"/>
                <w:szCs w:val="20"/>
              </w:rPr>
              <w:t>10%</w:t>
            </w:r>
          </w:p>
        </w:tc>
      </w:tr>
      <w:tr w14:paraId="30DBD7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320" w:type="pct"/>
            <w:vMerge w:val="restart"/>
            <w:shd w:val="clear" w:color="auto" w:fill="auto"/>
            <w:vAlign w:val="center"/>
          </w:tcPr>
          <w:p w14:paraId="5A001F77">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果面缺陷</w:t>
            </w:r>
          </w:p>
        </w:tc>
        <w:tc>
          <w:tcPr>
            <w:tcW w:w="831" w:type="pct"/>
            <w:shd w:val="clear" w:color="auto" w:fill="auto"/>
            <w:vAlign w:val="center"/>
          </w:tcPr>
          <w:p w14:paraId="4DF4D66F">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碰压伤</w:t>
            </w:r>
          </w:p>
        </w:tc>
        <w:tc>
          <w:tcPr>
            <w:tcW w:w="1156" w:type="pct"/>
            <w:shd w:val="clear" w:color="auto" w:fill="auto"/>
            <w:vAlign w:val="center"/>
          </w:tcPr>
          <w:p w14:paraId="50B76846">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无</w:t>
            </w:r>
          </w:p>
        </w:tc>
        <w:tc>
          <w:tcPr>
            <w:tcW w:w="1287" w:type="pct"/>
            <w:shd w:val="clear" w:color="auto" w:fill="auto"/>
            <w:vAlign w:val="center"/>
          </w:tcPr>
          <w:p w14:paraId="6A62A4BA">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轻微碰压伤，总面积不超过0.1cm</w:t>
            </w:r>
            <w:r>
              <w:rPr>
                <w:rFonts w:hint="eastAsia" w:ascii="宋体" w:hAnsi="宋体" w:cs="黑体"/>
                <w:snapToGrid w:val="0"/>
                <w:color w:val="000000"/>
                <w:spacing w:val="6"/>
                <w:kern w:val="0"/>
                <w:sz w:val="18"/>
                <w:szCs w:val="20"/>
                <w:vertAlign w:val="superscript"/>
              </w:rPr>
              <w:t xml:space="preserve">2 </w:t>
            </w:r>
            <w:r>
              <w:rPr>
                <w:rFonts w:hint="eastAsia" w:ascii="宋体" w:hAnsi="宋体" w:cs="黑体"/>
                <w:snapToGrid w:val="0"/>
                <w:color w:val="000000"/>
                <w:spacing w:val="6"/>
                <w:kern w:val="0"/>
                <w:sz w:val="18"/>
                <w:szCs w:val="20"/>
              </w:rPr>
              <w:t>1处</w:t>
            </w:r>
          </w:p>
        </w:tc>
        <w:tc>
          <w:tcPr>
            <w:tcW w:w="1403" w:type="pct"/>
            <w:shd w:val="clear" w:color="auto" w:fill="auto"/>
            <w:vAlign w:val="center"/>
          </w:tcPr>
          <w:p w14:paraId="39053FDA">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轻微碰压伤，总面积不超过0.1cm</w:t>
            </w:r>
            <w:r>
              <w:rPr>
                <w:rFonts w:hint="eastAsia" w:ascii="宋体" w:hAnsi="宋体" w:cs="黑体"/>
                <w:snapToGrid w:val="0"/>
                <w:color w:val="000000"/>
                <w:spacing w:val="6"/>
                <w:kern w:val="0"/>
                <w:sz w:val="18"/>
                <w:szCs w:val="20"/>
                <w:vertAlign w:val="superscript"/>
              </w:rPr>
              <w:t xml:space="preserve">2 </w:t>
            </w:r>
            <w:r>
              <w:rPr>
                <w:rFonts w:hint="eastAsia" w:ascii="宋体" w:hAnsi="宋体" w:cs="黑体"/>
                <w:snapToGrid w:val="0"/>
                <w:color w:val="000000"/>
                <w:spacing w:val="6"/>
                <w:kern w:val="0"/>
                <w:sz w:val="18"/>
                <w:szCs w:val="20"/>
              </w:rPr>
              <w:t>2处</w:t>
            </w:r>
          </w:p>
        </w:tc>
      </w:tr>
      <w:tr w14:paraId="0D2DE1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320" w:type="pct"/>
            <w:vMerge w:val="continue"/>
            <w:shd w:val="clear" w:color="auto" w:fill="auto"/>
            <w:vAlign w:val="center"/>
          </w:tcPr>
          <w:p w14:paraId="4EFDA08D">
            <w:pPr>
              <w:spacing w:line="240" w:lineRule="auto"/>
              <w:jc w:val="center"/>
              <w:rPr>
                <w:rFonts w:ascii="宋体" w:hAnsi="宋体" w:cs="黑体"/>
                <w:spacing w:val="6"/>
                <w:sz w:val="18"/>
                <w:szCs w:val="20"/>
              </w:rPr>
            </w:pPr>
          </w:p>
        </w:tc>
        <w:tc>
          <w:tcPr>
            <w:tcW w:w="831" w:type="pct"/>
            <w:shd w:val="clear" w:color="auto" w:fill="auto"/>
            <w:vAlign w:val="center"/>
          </w:tcPr>
          <w:p w14:paraId="08815C4D">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日灼</w:t>
            </w:r>
          </w:p>
        </w:tc>
        <w:tc>
          <w:tcPr>
            <w:tcW w:w="1156" w:type="pct"/>
            <w:shd w:val="clear" w:color="auto" w:fill="auto"/>
            <w:vAlign w:val="center"/>
          </w:tcPr>
          <w:p w14:paraId="2F1E46CA">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无</w:t>
            </w:r>
          </w:p>
        </w:tc>
        <w:tc>
          <w:tcPr>
            <w:tcW w:w="1287" w:type="pct"/>
            <w:shd w:val="clear" w:color="auto" w:fill="auto"/>
            <w:vAlign w:val="center"/>
          </w:tcPr>
          <w:p w14:paraId="69C94CEA">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无</w:t>
            </w:r>
          </w:p>
        </w:tc>
        <w:tc>
          <w:tcPr>
            <w:tcW w:w="1403" w:type="pct"/>
            <w:shd w:val="clear" w:color="auto" w:fill="auto"/>
            <w:vAlign w:val="center"/>
          </w:tcPr>
          <w:p w14:paraId="7CC89B9C">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轻微日灼，总面积不超过0.1cm</w:t>
            </w:r>
            <w:r>
              <w:rPr>
                <w:rFonts w:hint="eastAsia" w:ascii="宋体" w:hAnsi="宋体" w:cs="黑体"/>
                <w:snapToGrid w:val="0"/>
                <w:color w:val="000000"/>
                <w:spacing w:val="6"/>
                <w:kern w:val="0"/>
                <w:sz w:val="18"/>
                <w:szCs w:val="20"/>
                <w:vertAlign w:val="superscript"/>
              </w:rPr>
              <w:t xml:space="preserve">2 </w:t>
            </w:r>
            <w:r>
              <w:rPr>
                <w:rFonts w:hint="eastAsia" w:ascii="宋体" w:hAnsi="宋体" w:cs="黑体"/>
                <w:snapToGrid w:val="0"/>
                <w:color w:val="000000"/>
                <w:spacing w:val="6"/>
                <w:kern w:val="0"/>
                <w:sz w:val="18"/>
                <w:szCs w:val="20"/>
              </w:rPr>
              <w:t>1处</w:t>
            </w:r>
          </w:p>
        </w:tc>
      </w:tr>
      <w:tr w14:paraId="43287B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20" w:type="pct"/>
            <w:vMerge w:val="continue"/>
            <w:tcBorders>
              <w:bottom w:val="single" w:color="auto" w:sz="4" w:space="0"/>
            </w:tcBorders>
            <w:shd w:val="clear" w:color="auto" w:fill="auto"/>
            <w:vAlign w:val="center"/>
          </w:tcPr>
          <w:p w14:paraId="3E58E5C2">
            <w:pPr>
              <w:spacing w:line="240" w:lineRule="auto"/>
              <w:jc w:val="center"/>
              <w:rPr>
                <w:rFonts w:ascii="宋体" w:hAnsi="宋体" w:cs="黑体"/>
                <w:spacing w:val="6"/>
                <w:sz w:val="18"/>
                <w:szCs w:val="20"/>
              </w:rPr>
            </w:pPr>
          </w:p>
        </w:tc>
        <w:tc>
          <w:tcPr>
            <w:tcW w:w="831" w:type="pct"/>
            <w:tcBorders>
              <w:bottom w:val="single" w:color="auto" w:sz="4" w:space="0"/>
            </w:tcBorders>
            <w:shd w:val="clear" w:color="auto" w:fill="auto"/>
            <w:vAlign w:val="center"/>
          </w:tcPr>
          <w:p w14:paraId="19CE624C">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果锈</w:t>
            </w:r>
          </w:p>
        </w:tc>
        <w:tc>
          <w:tcPr>
            <w:tcW w:w="1156" w:type="pct"/>
            <w:tcBorders>
              <w:bottom w:val="single" w:color="auto" w:sz="4" w:space="0"/>
            </w:tcBorders>
            <w:shd w:val="clear" w:color="auto" w:fill="auto"/>
            <w:vAlign w:val="center"/>
          </w:tcPr>
          <w:p w14:paraId="2DC6E182">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无</w:t>
            </w:r>
          </w:p>
        </w:tc>
        <w:tc>
          <w:tcPr>
            <w:tcW w:w="1287" w:type="pct"/>
            <w:tcBorders>
              <w:bottom w:val="single" w:color="auto" w:sz="4" w:space="0"/>
            </w:tcBorders>
            <w:shd w:val="clear" w:color="auto" w:fill="auto"/>
            <w:vAlign w:val="center"/>
          </w:tcPr>
          <w:p w14:paraId="0486EE30">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总面积不超过果面的2%</w:t>
            </w:r>
          </w:p>
        </w:tc>
        <w:tc>
          <w:tcPr>
            <w:tcW w:w="1403" w:type="pct"/>
            <w:tcBorders>
              <w:bottom w:val="single" w:color="auto" w:sz="4" w:space="0"/>
            </w:tcBorders>
            <w:shd w:val="clear" w:color="auto" w:fill="auto"/>
            <w:vAlign w:val="center"/>
          </w:tcPr>
          <w:p w14:paraId="63308D54">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总面积不超过果面的3%</w:t>
            </w:r>
          </w:p>
        </w:tc>
      </w:tr>
      <w:tr w14:paraId="3C653F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2" w:type="pct"/>
            <w:gridSpan w:val="2"/>
            <w:tcBorders>
              <w:top w:val="single" w:color="auto" w:sz="4" w:space="0"/>
              <w:bottom w:val="single" w:color="auto" w:sz="8" w:space="0"/>
            </w:tcBorders>
            <w:shd w:val="clear" w:color="auto" w:fill="auto"/>
            <w:vAlign w:val="center"/>
          </w:tcPr>
          <w:p w14:paraId="7F16F93E">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果面缺陷容许度</w:t>
            </w:r>
          </w:p>
        </w:tc>
        <w:tc>
          <w:tcPr>
            <w:tcW w:w="1156" w:type="pct"/>
            <w:tcBorders>
              <w:top w:val="single" w:color="auto" w:sz="4" w:space="0"/>
              <w:bottom w:val="single" w:color="auto" w:sz="8" w:space="0"/>
            </w:tcBorders>
            <w:shd w:val="clear" w:color="auto" w:fill="auto"/>
            <w:vAlign w:val="center"/>
          </w:tcPr>
          <w:p w14:paraId="65B627BC">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无</w:t>
            </w:r>
          </w:p>
        </w:tc>
        <w:tc>
          <w:tcPr>
            <w:tcW w:w="1287" w:type="pct"/>
            <w:tcBorders>
              <w:top w:val="single" w:color="auto" w:sz="4" w:space="0"/>
              <w:bottom w:val="single" w:color="auto" w:sz="8" w:space="0"/>
            </w:tcBorders>
            <w:shd w:val="clear" w:color="auto" w:fill="auto"/>
            <w:vAlign w:val="center"/>
          </w:tcPr>
          <w:p w14:paraId="26DA183D">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以上缺陷不超过1项</w:t>
            </w:r>
          </w:p>
        </w:tc>
        <w:tc>
          <w:tcPr>
            <w:tcW w:w="1403" w:type="pct"/>
            <w:tcBorders>
              <w:top w:val="single" w:color="auto" w:sz="4" w:space="0"/>
              <w:bottom w:val="single" w:color="auto" w:sz="8" w:space="0"/>
            </w:tcBorders>
            <w:shd w:val="clear" w:color="auto" w:fill="auto"/>
            <w:vAlign w:val="center"/>
          </w:tcPr>
          <w:p w14:paraId="4864626C">
            <w:pPr>
              <w:spacing w:line="240" w:lineRule="auto"/>
              <w:jc w:val="center"/>
              <w:rPr>
                <w:rFonts w:ascii="宋体" w:hAnsi="宋体" w:cs="黑体"/>
                <w:spacing w:val="6"/>
                <w:sz w:val="18"/>
                <w:szCs w:val="20"/>
              </w:rPr>
            </w:pPr>
            <w:r>
              <w:rPr>
                <w:rFonts w:hint="eastAsia" w:ascii="宋体" w:hAnsi="宋体" w:cs="黑体"/>
                <w:snapToGrid w:val="0"/>
                <w:color w:val="000000"/>
                <w:spacing w:val="6"/>
                <w:kern w:val="0"/>
                <w:sz w:val="18"/>
                <w:szCs w:val="20"/>
              </w:rPr>
              <w:t>以上缺陷不超过2项</w:t>
            </w:r>
          </w:p>
        </w:tc>
      </w:tr>
    </w:tbl>
    <w:p w14:paraId="2CA3C9E0">
      <w:pPr>
        <w:pStyle w:val="105"/>
        <w:spacing w:before="156" w:after="156"/>
        <w:rPr>
          <w:spacing w:val="6"/>
          <w:sz w:val="20"/>
        </w:rPr>
      </w:pPr>
      <w:r>
        <w:rPr>
          <w:rFonts w:hint="eastAsia"/>
        </w:rPr>
        <w:t>理化指标</w:t>
      </w:r>
    </w:p>
    <w:p w14:paraId="5B2E35AF">
      <w:pPr>
        <w:pStyle w:val="56"/>
        <w:ind w:firstLine="420"/>
      </w:pPr>
      <w:r>
        <w:rPr>
          <w:rFonts w:hint="eastAsia"/>
          <w:snapToGrid w:val="0"/>
        </w:rPr>
        <w:t>理化指标应符合表2规定。</w:t>
      </w:r>
    </w:p>
    <w:p w14:paraId="7B9571AC">
      <w:pPr>
        <w:pStyle w:val="112"/>
        <w:spacing w:before="156" w:after="156"/>
      </w:pPr>
      <w:r>
        <w:t>理化指标</w:t>
      </w:r>
    </w:p>
    <w:tbl>
      <w:tblPr>
        <w:tblStyle w:val="23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254"/>
        <w:gridCol w:w="5120"/>
      </w:tblGrid>
      <w:tr w14:paraId="363364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 w:hRule="atLeast"/>
        </w:trPr>
        <w:tc>
          <w:tcPr>
            <w:tcW w:w="2269" w:type="pct"/>
            <w:tcBorders>
              <w:top w:val="single" w:color="auto" w:sz="8" w:space="0"/>
              <w:bottom w:val="single" w:color="auto" w:sz="8" w:space="0"/>
            </w:tcBorders>
            <w:shd w:val="clear" w:color="auto" w:fill="auto"/>
            <w:vAlign w:val="center"/>
          </w:tcPr>
          <w:p w14:paraId="20C71714">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项   目</w:t>
            </w:r>
          </w:p>
        </w:tc>
        <w:tc>
          <w:tcPr>
            <w:tcW w:w="2731" w:type="pct"/>
            <w:tcBorders>
              <w:top w:val="single" w:color="auto" w:sz="8" w:space="0"/>
              <w:bottom w:val="single" w:color="auto" w:sz="8" w:space="0"/>
            </w:tcBorders>
            <w:shd w:val="clear" w:color="auto" w:fill="auto"/>
            <w:vAlign w:val="center"/>
          </w:tcPr>
          <w:p w14:paraId="79B97F5E">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指  标</w:t>
            </w:r>
          </w:p>
        </w:tc>
      </w:tr>
      <w:tr w14:paraId="51F5B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 w:hRule="atLeast"/>
        </w:trPr>
        <w:tc>
          <w:tcPr>
            <w:tcW w:w="2269" w:type="pct"/>
            <w:tcBorders>
              <w:top w:val="single" w:color="auto" w:sz="8" w:space="0"/>
            </w:tcBorders>
            <w:shd w:val="clear" w:color="auto" w:fill="auto"/>
            <w:vAlign w:val="center"/>
          </w:tcPr>
          <w:p w14:paraId="0CD56E76">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可溶性固形物，%</w:t>
            </w:r>
          </w:p>
        </w:tc>
        <w:tc>
          <w:tcPr>
            <w:tcW w:w="2731" w:type="pct"/>
            <w:tcBorders>
              <w:top w:val="single" w:color="auto" w:sz="8" w:space="0"/>
            </w:tcBorders>
            <w:shd w:val="clear" w:color="auto" w:fill="auto"/>
            <w:vAlign w:val="center"/>
          </w:tcPr>
          <w:p w14:paraId="0C91D67F">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≥14.5</w:t>
            </w:r>
          </w:p>
        </w:tc>
      </w:tr>
      <w:tr w14:paraId="787D75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trPr>
        <w:tc>
          <w:tcPr>
            <w:tcW w:w="2269" w:type="pct"/>
            <w:shd w:val="clear" w:color="auto" w:fill="auto"/>
            <w:vAlign w:val="center"/>
          </w:tcPr>
          <w:p w14:paraId="46510915">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总酸，%</w:t>
            </w:r>
          </w:p>
        </w:tc>
        <w:tc>
          <w:tcPr>
            <w:tcW w:w="2731" w:type="pct"/>
            <w:shd w:val="clear" w:color="auto" w:fill="auto"/>
            <w:vAlign w:val="center"/>
          </w:tcPr>
          <w:p w14:paraId="38952B28">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0.8</w:t>
            </w:r>
            <w:r>
              <w:rPr>
                <w:rFonts w:hint="default" w:ascii="Times New Roman" w:hAnsi="Times New Roman" w:cs="Times New Roman"/>
                <w:snapToGrid w:val="0"/>
                <w:color w:val="000000"/>
                <w:spacing w:val="6"/>
                <w:kern w:val="0"/>
                <w:sz w:val="18"/>
              </w:rPr>
              <w:t>⁓</w:t>
            </w:r>
            <w:r>
              <w:rPr>
                <w:rFonts w:hint="eastAsia" w:ascii="宋体" w:hAnsi="宋体" w:cs="黑体"/>
                <w:snapToGrid w:val="0"/>
                <w:color w:val="000000"/>
                <w:spacing w:val="6"/>
                <w:kern w:val="0"/>
                <w:sz w:val="18"/>
              </w:rPr>
              <w:t>1.0</w:t>
            </w:r>
          </w:p>
        </w:tc>
      </w:tr>
      <w:tr w14:paraId="1532D2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trPr>
        <w:tc>
          <w:tcPr>
            <w:tcW w:w="2269" w:type="pct"/>
            <w:shd w:val="clear" w:color="auto" w:fill="auto"/>
            <w:vAlign w:val="center"/>
          </w:tcPr>
          <w:p w14:paraId="54550E6D">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水分，%</w:t>
            </w:r>
          </w:p>
        </w:tc>
        <w:tc>
          <w:tcPr>
            <w:tcW w:w="2731" w:type="pct"/>
            <w:shd w:val="clear" w:color="auto" w:fill="auto"/>
            <w:vAlign w:val="center"/>
          </w:tcPr>
          <w:p w14:paraId="7C985045">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≥70</w:t>
            </w:r>
          </w:p>
        </w:tc>
      </w:tr>
      <w:tr w14:paraId="430425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trPr>
        <w:tc>
          <w:tcPr>
            <w:tcW w:w="2269" w:type="pct"/>
            <w:tcBorders>
              <w:bottom w:val="single" w:color="auto" w:sz="8" w:space="0"/>
            </w:tcBorders>
            <w:shd w:val="clear" w:color="auto" w:fill="auto"/>
            <w:vAlign w:val="center"/>
          </w:tcPr>
          <w:p w14:paraId="4BFCC546">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钙，mg/100g</w:t>
            </w:r>
          </w:p>
        </w:tc>
        <w:tc>
          <w:tcPr>
            <w:tcW w:w="2731" w:type="pct"/>
            <w:tcBorders>
              <w:bottom w:val="single" w:color="auto" w:sz="8" w:space="0"/>
            </w:tcBorders>
            <w:shd w:val="clear" w:color="auto" w:fill="auto"/>
            <w:vAlign w:val="center"/>
          </w:tcPr>
          <w:p w14:paraId="0B7D9AD4">
            <w:pPr>
              <w:spacing w:line="240" w:lineRule="auto"/>
              <w:jc w:val="center"/>
              <w:rPr>
                <w:rFonts w:ascii="宋体" w:hAnsi="宋体" w:cs="黑体"/>
                <w:spacing w:val="6"/>
                <w:sz w:val="18"/>
              </w:rPr>
            </w:pPr>
            <w:r>
              <w:rPr>
                <w:rFonts w:hint="eastAsia" w:ascii="宋体" w:hAnsi="宋体" w:cs="黑体"/>
                <w:snapToGrid w:val="0"/>
                <w:color w:val="000000"/>
                <w:spacing w:val="6"/>
                <w:kern w:val="0"/>
                <w:sz w:val="18"/>
              </w:rPr>
              <w:t>≥19</w:t>
            </w:r>
          </w:p>
        </w:tc>
      </w:tr>
    </w:tbl>
    <w:p w14:paraId="09729B7F">
      <w:pPr>
        <w:pStyle w:val="105"/>
        <w:spacing w:before="156" w:after="156"/>
      </w:pPr>
      <w:r>
        <w:rPr>
          <w:rFonts w:hint="eastAsia"/>
        </w:rPr>
        <w:t>安全要求</w:t>
      </w:r>
    </w:p>
    <w:p w14:paraId="3BFECF11">
      <w:pPr>
        <w:pStyle w:val="65"/>
        <w:spacing w:before="156" w:after="156"/>
      </w:pPr>
      <w:r>
        <w:rPr>
          <w:rFonts w:hint="eastAsia"/>
        </w:rPr>
        <w:t>污染物限量</w:t>
      </w:r>
    </w:p>
    <w:p w14:paraId="5697DC35">
      <w:pPr>
        <w:pStyle w:val="56"/>
        <w:ind w:firstLine="420"/>
        <w:rPr>
          <w:rFonts w:ascii="黑体" w:hAnsi="黑体" w:eastAsia="黑体" w:cs="黑体"/>
          <w:spacing w:val="6"/>
        </w:rPr>
      </w:pPr>
      <w:r>
        <w:rPr>
          <w:rFonts w:hint="eastAsia"/>
        </w:rPr>
        <w:t>应符合GB 2762规定。</w:t>
      </w:r>
    </w:p>
    <w:p w14:paraId="22C333DC">
      <w:pPr>
        <w:pStyle w:val="65"/>
        <w:spacing w:before="156" w:after="156"/>
      </w:pPr>
      <w:r>
        <w:rPr>
          <w:rFonts w:hint="eastAsia"/>
        </w:rPr>
        <w:t>农药最大残留限量</w:t>
      </w:r>
    </w:p>
    <w:p w14:paraId="23B7053B">
      <w:pPr>
        <w:pStyle w:val="56"/>
        <w:ind w:firstLine="420"/>
      </w:pPr>
      <w:r>
        <w:rPr>
          <w:rFonts w:hint="eastAsia"/>
        </w:rPr>
        <w:t>应符合GB 2763中水果</w:t>
      </w:r>
      <w:r>
        <w:rPr>
          <w:rFonts w:hint="eastAsia" w:hAnsi="宋体" w:cs="宋体"/>
          <w:snapToGrid w:val="0"/>
          <w:color w:val="000000"/>
          <w:spacing w:val="8"/>
        </w:rPr>
        <w:t>的规定。</w:t>
      </w:r>
    </w:p>
    <w:p w14:paraId="1C07F4E6">
      <w:pPr>
        <w:pStyle w:val="104"/>
        <w:spacing w:before="312" w:after="312"/>
      </w:pPr>
      <w:bookmarkStart w:id="49" w:name="_Toc198566132"/>
      <w:r>
        <w:rPr>
          <w:rFonts w:hint="eastAsia"/>
        </w:rPr>
        <w:t>检验方法</w:t>
      </w:r>
      <w:bookmarkEnd w:id="49"/>
    </w:p>
    <w:p w14:paraId="3334502B">
      <w:pPr>
        <w:pStyle w:val="105"/>
        <w:spacing w:before="156" w:after="156"/>
      </w:pPr>
      <w:r>
        <w:rPr>
          <w:rFonts w:hint="eastAsia"/>
        </w:rPr>
        <w:t>感官指标</w:t>
      </w:r>
    </w:p>
    <w:p w14:paraId="023569B8">
      <w:pPr>
        <w:pStyle w:val="65"/>
        <w:spacing w:before="156" w:after="156"/>
      </w:pPr>
      <w:r>
        <w:rPr>
          <w:rFonts w:hint="eastAsia"/>
        </w:rPr>
        <w:t>色泽、果形</w:t>
      </w:r>
    </w:p>
    <w:p w14:paraId="4C2CABCE">
      <w:pPr>
        <w:pStyle w:val="56"/>
        <w:ind w:firstLine="420"/>
      </w:pPr>
      <w:r>
        <w:rPr>
          <w:rFonts w:hint="eastAsia"/>
          <w:snapToGrid w:val="0"/>
        </w:rPr>
        <w:t>由感官鉴定。</w:t>
      </w:r>
    </w:p>
    <w:p w14:paraId="37CB3D64">
      <w:pPr>
        <w:pStyle w:val="65"/>
        <w:spacing w:before="156" w:after="156"/>
      </w:pPr>
      <w:r>
        <w:rPr>
          <w:rFonts w:hint="eastAsia"/>
        </w:rPr>
        <w:t>单果重</w:t>
      </w:r>
    </w:p>
    <w:p w14:paraId="331B69F8">
      <w:pPr>
        <w:pStyle w:val="56"/>
        <w:ind w:firstLine="420"/>
      </w:pPr>
      <w:r>
        <w:rPr>
          <w:rFonts w:hint="eastAsia"/>
        </w:rPr>
        <w:t>单果质量用天平（精度为0.1g）测定。</w:t>
      </w:r>
    </w:p>
    <w:p w14:paraId="3CD57DF6">
      <w:pPr>
        <w:pStyle w:val="65"/>
        <w:spacing w:before="156" w:after="156"/>
      </w:pPr>
      <w:r>
        <w:rPr>
          <w:rFonts w:hint="eastAsia"/>
        </w:rPr>
        <w:t>果面缺陷</w:t>
      </w:r>
    </w:p>
    <w:p w14:paraId="22A15798">
      <w:pPr>
        <w:pStyle w:val="56"/>
        <w:ind w:firstLine="420"/>
      </w:pPr>
      <w:r>
        <w:rPr>
          <w:rFonts w:hint="eastAsia"/>
        </w:rPr>
        <w:t>由目测或采用量具测定。同一果实上兼有二项或二项以上不同缺陷及损伤项目时，只记录对品质影响较重的一项。</w:t>
      </w:r>
    </w:p>
    <w:p w14:paraId="631B43C7">
      <w:pPr>
        <w:pStyle w:val="65"/>
        <w:spacing w:before="156" w:after="156"/>
      </w:pPr>
      <w:r>
        <w:rPr>
          <w:rFonts w:hint="eastAsia"/>
        </w:rPr>
        <w:t>果面缺陷容许度</w:t>
      </w:r>
    </w:p>
    <w:p w14:paraId="0F0FFFAF">
      <w:pPr>
        <w:pStyle w:val="56"/>
        <w:ind w:firstLine="420"/>
      </w:pPr>
      <w:r>
        <w:rPr>
          <w:rFonts w:hint="eastAsia"/>
        </w:rPr>
        <w:t>容许度的测定以全部抽样包装件的平均数计算。容许度规定的百分率一般以重量为基数计算，如包装上标有果个数，则应以果个数为基数计算。</w:t>
      </w:r>
    </w:p>
    <w:p w14:paraId="508CCB63">
      <w:pPr>
        <w:pStyle w:val="105"/>
        <w:spacing w:before="156" w:after="156"/>
      </w:pPr>
      <w:r>
        <w:rPr>
          <w:rFonts w:hint="eastAsia"/>
        </w:rPr>
        <w:t>理化指标</w:t>
      </w:r>
    </w:p>
    <w:p w14:paraId="43E65D9A">
      <w:pPr>
        <w:pStyle w:val="65"/>
        <w:spacing w:before="156" w:after="156"/>
      </w:pPr>
      <w:r>
        <w:rPr>
          <w:rFonts w:hint="eastAsia"/>
        </w:rPr>
        <w:t>可溶性固形物</w:t>
      </w:r>
    </w:p>
    <w:p w14:paraId="1B834745">
      <w:pPr>
        <w:pStyle w:val="56"/>
        <w:ind w:firstLine="420"/>
        <w:rPr>
          <w:rFonts w:ascii="黑体" w:hAnsi="黑体" w:eastAsia="黑体" w:cs="黑体"/>
          <w:spacing w:val="6"/>
        </w:rPr>
      </w:pPr>
      <w:r>
        <w:rPr>
          <w:rFonts w:hint="eastAsia"/>
        </w:rPr>
        <w:t>按NY/T 2637规定执行。</w:t>
      </w:r>
    </w:p>
    <w:p w14:paraId="108F8A37">
      <w:pPr>
        <w:pStyle w:val="65"/>
        <w:spacing w:before="156" w:after="156"/>
      </w:pPr>
      <w:r>
        <w:rPr>
          <w:rFonts w:hint="eastAsia"/>
        </w:rPr>
        <w:t>总酸</w:t>
      </w:r>
    </w:p>
    <w:p w14:paraId="35D8FC77">
      <w:pPr>
        <w:pStyle w:val="56"/>
        <w:ind w:firstLine="420"/>
      </w:pPr>
      <w:r>
        <w:rPr>
          <w:rFonts w:hint="eastAsia"/>
        </w:rPr>
        <w:t>按GB 12456规定执行。</w:t>
      </w:r>
    </w:p>
    <w:p w14:paraId="2A381A38">
      <w:pPr>
        <w:pStyle w:val="65"/>
        <w:spacing w:before="156" w:after="156"/>
      </w:pPr>
      <w:r>
        <w:rPr>
          <w:rFonts w:hint="eastAsia"/>
        </w:rPr>
        <w:t>水分</w:t>
      </w:r>
    </w:p>
    <w:p w14:paraId="61D02ABB">
      <w:pPr>
        <w:pStyle w:val="56"/>
        <w:ind w:firstLine="420"/>
      </w:pPr>
      <w:r>
        <w:rPr>
          <w:rFonts w:hint="eastAsia"/>
        </w:rPr>
        <w:t>按GB 5009.3规定执行。</w:t>
      </w:r>
    </w:p>
    <w:p w14:paraId="315F2B4B">
      <w:pPr>
        <w:pStyle w:val="65"/>
        <w:spacing w:before="156" w:after="156"/>
      </w:pPr>
      <w:r>
        <w:rPr>
          <w:rFonts w:hint="eastAsia"/>
        </w:rPr>
        <w:t>钙</w:t>
      </w:r>
    </w:p>
    <w:p w14:paraId="79A1543F">
      <w:pPr>
        <w:pStyle w:val="56"/>
        <w:ind w:firstLine="420"/>
      </w:pPr>
      <w:r>
        <w:rPr>
          <w:rFonts w:hint="eastAsia"/>
        </w:rPr>
        <w:t>按GB 5009.92规定执行。</w:t>
      </w:r>
    </w:p>
    <w:p w14:paraId="39B1D0B8">
      <w:pPr>
        <w:pStyle w:val="104"/>
        <w:spacing w:before="312" w:after="312"/>
      </w:pPr>
      <w:bookmarkStart w:id="50" w:name="_Toc198566133"/>
      <w:r>
        <w:rPr>
          <w:rFonts w:hint="eastAsia"/>
        </w:rPr>
        <w:t>检验规则</w:t>
      </w:r>
      <w:bookmarkEnd w:id="50"/>
    </w:p>
    <w:p w14:paraId="146CE6BA">
      <w:pPr>
        <w:pStyle w:val="105"/>
        <w:spacing w:before="156" w:after="156"/>
      </w:pPr>
      <w:r>
        <w:rPr>
          <w:rFonts w:hint="eastAsia"/>
        </w:rPr>
        <w:t>确定批次</w:t>
      </w:r>
    </w:p>
    <w:p w14:paraId="3E03E2C7">
      <w:pPr>
        <w:pStyle w:val="56"/>
        <w:ind w:firstLine="420"/>
        <w:rPr>
          <w:rFonts w:ascii="黑体" w:hAnsi="黑体" w:eastAsia="黑体" w:cs="黑体"/>
          <w:spacing w:val="6"/>
        </w:rPr>
      </w:pPr>
      <w:r>
        <w:rPr>
          <w:rFonts w:hint="eastAsia"/>
        </w:rPr>
        <w:t>将同一生产基地、同等级、一次调运或出售的果实作为1个检验批次。</w:t>
      </w:r>
    </w:p>
    <w:p w14:paraId="41748676">
      <w:pPr>
        <w:pStyle w:val="105"/>
        <w:spacing w:before="156" w:after="156"/>
      </w:pPr>
      <w:r>
        <w:rPr>
          <w:rFonts w:hint="eastAsia"/>
        </w:rPr>
        <w:t>抽样</w:t>
      </w:r>
    </w:p>
    <w:p w14:paraId="6E49B354">
      <w:pPr>
        <w:pStyle w:val="65"/>
        <w:spacing w:before="156" w:after="156"/>
      </w:pPr>
      <w:r>
        <w:rPr>
          <w:rFonts w:hint="eastAsia"/>
        </w:rPr>
        <w:t>抽样批次及部位</w:t>
      </w:r>
    </w:p>
    <w:p w14:paraId="479B35E9">
      <w:pPr>
        <w:pStyle w:val="56"/>
        <w:ind w:firstLine="420"/>
      </w:pPr>
      <w:r>
        <w:rPr>
          <w:rFonts w:hint="eastAsia"/>
        </w:rPr>
        <w:t>以一个抽样批次为一个检验批次，抽样的样品应具有代表性，应在整个检验批次的不同部位随机抽取，样品的检验结果适用于整个检验批次。</w:t>
      </w:r>
    </w:p>
    <w:p w14:paraId="7D3B4FAF">
      <w:pPr>
        <w:pStyle w:val="65"/>
        <w:spacing w:before="156" w:after="156"/>
      </w:pPr>
      <w:r>
        <w:rPr>
          <w:rFonts w:hint="eastAsia"/>
        </w:rPr>
        <w:t>抽样数量</w:t>
      </w:r>
    </w:p>
    <w:p w14:paraId="1A3D0A13">
      <w:pPr>
        <w:pStyle w:val="56"/>
        <w:ind w:firstLine="420"/>
      </w:pPr>
      <w:r>
        <w:t>100件以内抽取整批货物的5%；超过100件，每增加100件，加抽增加数量的1%。分散零担果实可在装果容器的上、中、下各部位随机抽取，样品数量不少于10个果实。如遇特殊情况，需扩大检验范围时，可适当增加抽样数量。</w:t>
      </w:r>
    </w:p>
    <w:p w14:paraId="332FDAEF">
      <w:pPr>
        <w:pStyle w:val="105"/>
        <w:spacing w:before="156" w:after="156"/>
      </w:pPr>
      <w:r>
        <w:rPr>
          <w:rFonts w:hint="eastAsia"/>
        </w:rPr>
        <w:t>检验分类</w:t>
      </w:r>
    </w:p>
    <w:p w14:paraId="3D97C881">
      <w:pPr>
        <w:pStyle w:val="65"/>
        <w:spacing w:before="156" w:after="156"/>
      </w:pPr>
      <w:r>
        <w:rPr>
          <w:rFonts w:hint="eastAsia"/>
        </w:rPr>
        <w:t xml:space="preserve">出厂检验 </w:t>
      </w:r>
    </w:p>
    <w:p w14:paraId="595FA75D">
      <w:pPr>
        <w:pStyle w:val="174"/>
      </w:pPr>
      <w:r>
        <w:rPr>
          <w:rFonts w:hint="eastAsia"/>
        </w:rPr>
        <w:t>应逐批检验，并出具检验报告。</w:t>
      </w:r>
    </w:p>
    <w:p w14:paraId="2494664D">
      <w:pPr>
        <w:pStyle w:val="174"/>
        <w:rPr>
          <w:spacing w:val="7"/>
        </w:rPr>
      </w:pPr>
      <w:r>
        <w:rPr>
          <w:rFonts w:hint="eastAsia"/>
        </w:rPr>
        <w:t>按本标准6.1、6.2的规定检验。</w:t>
      </w:r>
    </w:p>
    <w:p w14:paraId="7E8BDCD3">
      <w:pPr>
        <w:pStyle w:val="65"/>
        <w:spacing w:before="156" w:after="156"/>
      </w:pPr>
      <w:r>
        <w:rPr>
          <w:rFonts w:hint="eastAsia"/>
        </w:rPr>
        <w:t>型式检验</w:t>
      </w:r>
    </w:p>
    <w:p w14:paraId="45E110B5">
      <w:pPr>
        <w:pStyle w:val="56"/>
        <w:ind w:firstLine="420"/>
      </w:pPr>
      <w:r>
        <w:t>按照本文件第6章要求进行型式检验。有下列情形之一者应进行型式检验：</w:t>
      </w:r>
    </w:p>
    <w:p w14:paraId="7A2CDA32">
      <w:pPr>
        <w:pStyle w:val="174"/>
        <w:numPr>
          <w:ilvl w:val="0"/>
          <w:numId w:val="32"/>
        </w:numPr>
      </w:pPr>
      <w:r>
        <w:t>前后两次交收检验结果差异较大；</w:t>
      </w:r>
    </w:p>
    <w:p w14:paraId="248E30DC">
      <w:pPr>
        <w:pStyle w:val="174"/>
      </w:pPr>
      <w:r>
        <w:t>因人为或自然因素使生产环境发生较大变化；</w:t>
      </w:r>
    </w:p>
    <w:p w14:paraId="2734024A">
      <w:pPr>
        <w:pStyle w:val="174"/>
      </w:pPr>
      <w:r>
        <w:t>国家市场监督机构或行业主管部门提出型式检验要求。</w:t>
      </w:r>
    </w:p>
    <w:p w14:paraId="6BCBD48D">
      <w:pPr>
        <w:pStyle w:val="105"/>
        <w:spacing w:before="156" w:after="156"/>
      </w:pPr>
      <w:r>
        <w:rPr>
          <w:rFonts w:hint="eastAsia"/>
        </w:rPr>
        <w:t>判定规则</w:t>
      </w:r>
    </w:p>
    <w:p w14:paraId="7677EBDF">
      <w:pPr>
        <w:pStyle w:val="56"/>
        <w:ind w:firstLine="420"/>
      </w:pPr>
      <w:r>
        <w:rPr>
          <w:rFonts w:hint="eastAsia"/>
        </w:rPr>
        <w:t>感官指标、理化指标中有不符合规定的项目，可进行一次复检，复检仍不合格，则判该批产品为不合格</w:t>
      </w:r>
      <w:r>
        <w:t>。</w:t>
      </w:r>
    </w:p>
    <w:p w14:paraId="32346FDB">
      <w:pPr>
        <w:pStyle w:val="104"/>
        <w:spacing w:before="312" w:after="312"/>
      </w:pPr>
      <w:bookmarkStart w:id="51" w:name="_Toc198566134"/>
      <w:r>
        <w:rPr>
          <w:rFonts w:hint="eastAsia"/>
        </w:rPr>
        <w:t>标签、标志、包装、运输、贮藏</w:t>
      </w:r>
      <w:bookmarkEnd w:id="51"/>
    </w:p>
    <w:p w14:paraId="6CFA79B7">
      <w:pPr>
        <w:pStyle w:val="105"/>
        <w:spacing w:before="156" w:after="156"/>
      </w:pPr>
      <w:r>
        <w:rPr>
          <w:rFonts w:hint="eastAsia"/>
        </w:rPr>
        <w:t>标签、标志</w:t>
      </w:r>
    </w:p>
    <w:p w14:paraId="02D64FB0">
      <w:pPr>
        <w:pStyle w:val="56"/>
        <w:ind w:firstLine="420"/>
      </w:pPr>
      <w:r>
        <w:rPr>
          <w:rFonts w:hint="eastAsia"/>
        </w:rPr>
        <w:t>标签、标志应按照《地理标志专用标志使用管理办法（试行）》执行。</w:t>
      </w:r>
    </w:p>
    <w:p w14:paraId="4FBA5B29">
      <w:pPr>
        <w:pStyle w:val="105"/>
        <w:spacing w:before="156" w:after="156"/>
      </w:pPr>
      <w:r>
        <w:rPr>
          <w:rFonts w:hint="eastAsia"/>
        </w:rPr>
        <w:t>包装</w:t>
      </w:r>
    </w:p>
    <w:p w14:paraId="64C61BD8">
      <w:pPr>
        <w:pStyle w:val="56"/>
        <w:ind w:firstLine="420"/>
      </w:pPr>
      <w:r>
        <w:rPr>
          <w:rFonts w:hint="eastAsia"/>
        </w:rPr>
        <w:t>包装容器应符合质量、卫生、透气性和强度的要求，以保证海红果适宜处理、运输和贮藏。</w:t>
      </w:r>
    </w:p>
    <w:p w14:paraId="72DA7C95">
      <w:pPr>
        <w:pStyle w:val="105"/>
        <w:spacing w:before="156" w:after="156"/>
      </w:pPr>
      <w:r>
        <w:rPr>
          <w:rFonts w:hint="eastAsia"/>
        </w:rPr>
        <w:t>运输和贮藏</w:t>
      </w:r>
    </w:p>
    <w:p w14:paraId="66A9A8AE">
      <w:pPr>
        <w:pStyle w:val="56"/>
        <w:ind w:firstLine="420"/>
      </w:pPr>
      <w:r>
        <w:rPr>
          <w:rFonts w:hint="eastAsia"/>
        </w:rPr>
        <w:t>采收后果实应尽快分装、包装、销售或冷藏。贮藏场所与运输工具要洁净卫生。不能与有毒、有异味等有害物品混存混运。运输应做到快装、快运、快卸。贮存和装卸时应轻搬轻放，严禁乱丢。</w:t>
      </w:r>
    </w:p>
    <w:p w14:paraId="2F471ED4">
      <w:pPr>
        <w:pStyle w:val="56"/>
        <w:ind w:firstLine="420"/>
      </w:pPr>
      <w:r>
        <w:rPr>
          <w:rFonts w:hint="eastAsia"/>
        </w:rPr>
        <w:t>果实待运时，应批次分明，堆码整齐，尽量缩短待运时间。贮存场所应防雨、干燥、清洁、阴凉、无阳光直射。</w:t>
      </w:r>
    </w:p>
    <w:p w14:paraId="3827C6AA">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p>
    <w:bookmarkEnd w:id="21"/>
    <w:p w14:paraId="046DDA61">
      <w:pPr>
        <w:pStyle w:val="198"/>
      </w:pPr>
      <w:bookmarkStart w:id="52" w:name="BookMark5"/>
    </w:p>
    <w:p w14:paraId="40561E4A">
      <w:pPr>
        <w:pStyle w:val="199"/>
      </w:pPr>
    </w:p>
    <w:p w14:paraId="57061C51">
      <w:pPr>
        <w:pStyle w:val="76"/>
        <w:spacing w:after="156"/>
      </w:pPr>
      <w:r>
        <w:br w:type="textWrapping"/>
      </w:r>
      <w:bookmarkStart w:id="53" w:name="_Toc198566135"/>
      <w:r>
        <w:rPr>
          <w:rFonts w:hint="eastAsia"/>
        </w:rPr>
        <w:t>（规范性）</w:t>
      </w:r>
      <w:r>
        <w:br w:type="textWrapping"/>
      </w:r>
      <w:r>
        <w:rPr>
          <w:rFonts w:hint="eastAsia"/>
        </w:rPr>
        <w:t>地理标准产品 府谷海红果保护范围</w:t>
      </w:r>
      <w:bookmarkEnd w:id="53"/>
    </w:p>
    <w:p w14:paraId="44E5B6BF">
      <w:pPr>
        <w:pStyle w:val="56"/>
        <w:ind w:firstLine="420"/>
      </w:pPr>
      <w:r>
        <w:rPr>
          <w:rFonts w:hint="eastAsia"/>
        </w:rPr>
        <w:t>按照原国家质量监督检验检疫总局公告（2008年第103号），府谷海红果保护范围即陕西省榆林市府谷县现辖行政区域。府谷县，位于陕西省最北端，是陕西省直管县。全县总面积3229平方公里，辖14个镇，172个行政村。府谷海红果地理标志保护区域图见下图。</w:t>
      </w:r>
    </w:p>
    <w:p w14:paraId="35FFA524">
      <w:pPr>
        <w:pStyle w:val="56"/>
        <w:ind w:firstLine="420"/>
      </w:pPr>
      <w:r>
        <w:rPr>
          <w:rFonts w:hint="eastAsia"/>
        </w:rPr>
        <w:drawing>
          <wp:inline distT="0" distB="0" distL="114300" distR="114300">
            <wp:extent cx="5264785" cy="4892040"/>
            <wp:effectExtent l="0" t="0" r="12065" b="3810"/>
            <wp:docPr id="1" name="图片 1" descr="68fd2f4418e00a933a6791219d06d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8fd2f4418e00a933a6791219d06d3c"/>
                    <pic:cNvPicPr>
                      <a:picLocks noChangeAspect="1"/>
                    </pic:cNvPicPr>
                  </pic:nvPicPr>
                  <pic:blipFill>
                    <a:blip r:embed="rId27"/>
                    <a:stretch>
                      <a:fillRect/>
                    </a:stretch>
                  </pic:blipFill>
                  <pic:spPr>
                    <a:xfrm>
                      <a:off x="0" y="0"/>
                      <a:ext cx="5264785" cy="4892040"/>
                    </a:xfrm>
                    <a:prstGeom prst="rect">
                      <a:avLst/>
                    </a:prstGeom>
                  </pic:spPr>
                </pic:pic>
              </a:graphicData>
            </a:graphic>
          </wp:inline>
        </w:drawing>
      </w:r>
    </w:p>
    <w:p w14:paraId="06964035">
      <w:pPr>
        <w:pStyle w:val="83"/>
        <w:spacing w:before="156" w:after="156"/>
      </w:pPr>
      <w:r>
        <w:rPr>
          <w:rFonts w:hint="eastAsia"/>
        </w:rPr>
        <w:t>府谷海红果地理标志保护区域图</w:t>
      </w:r>
    </w:p>
    <w:bookmarkEnd w:id="52"/>
    <w:p w14:paraId="671C7953">
      <w:pPr>
        <w:pStyle w:val="56"/>
        <w:ind w:firstLine="0" w:firstLineChars="0"/>
        <w:jc w:val="center"/>
      </w:pPr>
      <w:bookmarkStart w:id="54" w:name="BookMark8"/>
    </w:p>
    <w:p w14:paraId="546619F4">
      <w:pPr>
        <w:pStyle w:val="56"/>
        <w:ind w:firstLine="0" w:firstLineChars="0"/>
        <w:jc w:val="center"/>
      </w:pPr>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E3AD0">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8F6D9">
    <w:pPr>
      <w:pStyle w:val="51"/>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FFFA5">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EFA2C">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DF27B">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80428">
    <w:pPr>
      <w:pStyle w:val="52"/>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8FD57">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41708">
    <w:pPr>
      <w:pStyle w:val="52"/>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0BE35">
    <w:pPr>
      <w:pStyle w:val="51"/>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953C0">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7BA9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44628">
    <w:pPr>
      <w:pStyle w:val="62"/>
    </w:pPr>
    <w:r>
      <w:fldChar w:fldCharType="begin"/>
    </w:r>
    <w:r>
      <w:instrText xml:space="preserve"> STYLEREF  标准文件_文件编号 \* MERGEFORMAT </w:instrText>
    </w:r>
    <w:r>
      <w:fldChar w:fldCharType="separate"/>
    </w:r>
    <w:r>
      <w:t>DB 61/T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3699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95828">
    <w:pPr>
      <w:pStyle w:val="61"/>
    </w:pPr>
    <w:r>
      <w:fldChar w:fldCharType="begin"/>
    </w:r>
    <w:r>
      <w:instrText xml:space="preserve"> STYLEREF  标准文件_文件编号  \* MERGEFORMAT </w:instrText>
    </w:r>
    <w:r>
      <w:fldChar w:fldCharType="separate"/>
    </w:r>
    <w:r>
      <w:t>DB 61/T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AA819">
    <w:pPr>
      <w:pStyle w:val="62"/>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BF5F6">
    <w:pPr>
      <w:pStyle w:val="61"/>
    </w:pPr>
    <w:r>
      <w:fldChar w:fldCharType="begin"/>
    </w:r>
    <w:r>
      <w:instrText xml:space="preserve"> STYLEREF  标准文件_文件编号  \* MERGEFORMAT </w:instrText>
    </w:r>
    <w:r>
      <w:fldChar w:fldCharType="separate"/>
    </w:r>
    <w:r>
      <w:t>DB 61/T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5C0B9">
    <w:pPr>
      <w:pStyle w:val="62"/>
    </w:pPr>
    <w:r>
      <w:fldChar w:fldCharType="begin"/>
    </w:r>
    <w:r>
      <w:instrText xml:space="preserve"> STYLEREF  标准文件_文件编号 \* MERGEFORMAT </w:instrText>
    </w:r>
    <w:r>
      <w:fldChar w:fldCharType="separate"/>
    </w:r>
    <w:r>
      <w:t>DB 61/T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2C9B0">
    <w:pPr>
      <w:pStyle w:val="61"/>
    </w:pPr>
    <w:r>
      <w:fldChar w:fldCharType="begin"/>
    </w:r>
    <w:r>
      <w:instrText xml:space="preserve"> STYLEREF  标准文件_文件编号  \* MERGEFORMAT </w:instrText>
    </w:r>
    <w:r>
      <w:fldChar w:fldCharType="separate"/>
    </w:r>
    <w:r>
      <w:t>DB 61/T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8AE64">
    <w:pPr>
      <w:pStyle w:val="62"/>
    </w:pPr>
    <w:r>
      <w:fldChar w:fldCharType="begin"/>
    </w:r>
    <w:r>
      <w:instrText xml:space="preserve"> STYLEREF  标准文件_文件编号 \* MERGEFORMAT </w:instrText>
    </w:r>
    <w:r>
      <w:fldChar w:fldCharType="separate"/>
    </w:r>
    <w:r>
      <w:t>DB 61/T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804EC">
    <w:pPr>
      <w:pStyle w:val="61"/>
    </w:pPr>
    <w:r>
      <w:fldChar w:fldCharType="begin"/>
    </w:r>
    <w:r>
      <w:instrText xml:space="preserve"> STYLEREF  标准文件_文件编号  \* MERGEFORMAT </w:instrText>
    </w:r>
    <w:r>
      <w:fldChar w:fldCharType="separate"/>
    </w:r>
    <w: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8WmpdJKOX7UvtjFmL81w4jZcmrMOeIrRB9Or6vk04ou35dKl78i7i9Q25nHYlXZlT2mC7+V2TN26J9cVLxd5Lg==" w:salt="VMYepo+o+CyRCT8juvvLj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5D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D3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B73"/>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1F791E"/>
    <w:rsid w:val="00200183"/>
    <w:rsid w:val="00200333"/>
    <w:rsid w:val="0020107D"/>
    <w:rsid w:val="00202AA4"/>
    <w:rsid w:val="002031F7"/>
    <w:rsid w:val="002040E6"/>
    <w:rsid w:val="0020527B"/>
    <w:rsid w:val="00205F2C"/>
    <w:rsid w:val="002067B3"/>
    <w:rsid w:val="00210B15"/>
    <w:rsid w:val="00213127"/>
    <w:rsid w:val="002142EA"/>
    <w:rsid w:val="002163C8"/>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5CF"/>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89B"/>
    <w:rsid w:val="003C0A6C"/>
    <w:rsid w:val="003C14F8"/>
    <w:rsid w:val="003C55D4"/>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B4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832"/>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D7B"/>
    <w:rsid w:val="004A12DF"/>
    <w:rsid w:val="004A17E6"/>
    <w:rsid w:val="004A1BA8"/>
    <w:rsid w:val="004A4B57"/>
    <w:rsid w:val="004A63FA"/>
    <w:rsid w:val="004B0272"/>
    <w:rsid w:val="004B2701"/>
    <w:rsid w:val="004B2E1B"/>
    <w:rsid w:val="004B3AA8"/>
    <w:rsid w:val="004B3E93"/>
    <w:rsid w:val="004C1AE1"/>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C7D"/>
    <w:rsid w:val="004F6456"/>
    <w:rsid w:val="004F696E"/>
    <w:rsid w:val="004F6C71"/>
    <w:rsid w:val="00501139"/>
    <w:rsid w:val="00502A94"/>
    <w:rsid w:val="0050363E"/>
    <w:rsid w:val="005039BC"/>
    <w:rsid w:val="005043BB"/>
    <w:rsid w:val="00504A3D"/>
    <w:rsid w:val="00505767"/>
    <w:rsid w:val="005073F0"/>
    <w:rsid w:val="00510A7B"/>
    <w:rsid w:val="00512F6E"/>
    <w:rsid w:val="00513038"/>
    <w:rsid w:val="00514174"/>
    <w:rsid w:val="00514FE3"/>
    <w:rsid w:val="00516088"/>
    <w:rsid w:val="00516B0B"/>
    <w:rsid w:val="005220EC"/>
    <w:rsid w:val="00523F95"/>
    <w:rsid w:val="00524D65"/>
    <w:rsid w:val="00525B16"/>
    <w:rsid w:val="00525DC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FB6"/>
    <w:rsid w:val="00563320"/>
    <w:rsid w:val="0056487B"/>
    <w:rsid w:val="00564FB9"/>
    <w:rsid w:val="00573D9E"/>
    <w:rsid w:val="005801E3"/>
    <w:rsid w:val="00581802"/>
    <w:rsid w:val="005836A8"/>
    <w:rsid w:val="0058409C"/>
    <w:rsid w:val="00584262"/>
    <w:rsid w:val="00586630"/>
    <w:rsid w:val="00587ADD"/>
    <w:rsid w:val="00591E27"/>
    <w:rsid w:val="00593E93"/>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15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095"/>
    <w:rsid w:val="00695D22"/>
    <w:rsid w:val="006A07AA"/>
    <w:rsid w:val="006A25E5"/>
    <w:rsid w:val="006A2B46"/>
    <w:rsid w:val="006A336D"/>
    <w:rsid w:val="006A37B9"/>
    <w:rsid w:val="006B2672"/>
    <w:rsid w:val="006B54BF"/>
    <w:rsid w:val="006B5F44"/>
    <w:rsid w:val="006B5F90"/>
    <w:rsid w:val="006B62E4"/>
    <w:rsid w:val="006C1BBA"/>
    <w:rsid w:val="006C2079"/>
    <w:rsid w:val="006C55DA"/>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5DB3"/>
    <w:rsid w:val="00727FA2"/>
    <w:rsid w:val="007322D9"/>
    <w:rsid w:val="00732BC0"/>
    <w:rsid w:val="0073720F"/>
    <w:rsid w:val="00737796"/>
    <w:rsid w:val="00740952"/>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C5C"/>
    <w:rsid w:val="00773C1F"/>
    <w:rsid w:val="00774DA4"/>
    <w:rsid w:val="00776599"/>
    <w:rsid w:val="0078114B"/>
    <w:rsid w:val="00781DD2"/>
    <w:rsid w:val="00783ECF"/>
    <w:rsid w:val="0078413A"/>
    <w:rsid w:val="00791C1B"/>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4F3"/>
    <w:rsid w:val="007D5824"/>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9E4"/>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33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938"/>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47C"/>
    <w:rsid w:val="00A0096C"/>
    <w:rsid w:val="00A01757"/>
    <w:rsid w:val="00A028C0"/>
    <w:rsid w:val="00A02BAE"/>
    <w:rsid w:val="00A06A6B"/>
    <w:rsid w:val="00A07E47"/>
    <w:rsid w:val="00A129D0"/>
    <w:rsid w:val="00A12C33"/>
    <w:rsid w:val="00A138BA"/>
    <w:rsid w:val="00A14C8E"/>
    <w:rsid w:val="00A153D9"/>
    <w:rsid w:val="00A15F09"/>
    <w:rsid w:val="00A169B6"/>
    <w:rsid w:val="00A17E6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860"/>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5E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86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269F"/>
    <w:rsid w:val="00D66846"/>
    <w:rsid w:val="00D675FB"/>
    <w:rsid w:val="00D71F25"/>
    <w:rsid w:val="00D72A9C"/>
    <w:rsid w:val="00D77031"/>
    <w:rsid w:val="00D84941"/>
    <w:rsid w:val="00D84FA1"/>
    <w:rsid w:val="00D851F0"/>
    <w:rsid w:val="00D86DB7"/>
    <w:rsid w:val="00D9087C"/>
    <w:rsid w:val="00D91515"/>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39C1"/>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9D3"/>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A1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32A"/>
    <w:rsid w:val="00EA58D1"/>
    <w:rsid w:val="00EA61BC"/>
    <w:rsid w:val="00EA681A"/>
    <w:rsid w:val="00EA735B"/>
    <w:rsid w:val="00EB17DE"/>
    <w:rsid w:val="00EB1E69"/>
    <w:rsid w:val="00EB2086"/>
    <w:rsid w:val="00EB4640"/>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5369"/>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3FBE"/>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7CB"/>
    <w:rsid w:val="00FB7054"/>
    <w:rsid w:val="00FC17B7"/>
    <w:rsid w:val="00FC2CB7"/>
    <w:rsid w:val="00FC2D11"/>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7D5"/>
    <w:rsid w:val="00FF3E7D"/>
    <w:rsid w:val="00FF5B99"/>
    <w:rsid w:val="00FF730C"/>
    <w:rsid w:val="00FF73F4"/>
    <w:rsid w:val="00FF7CE4"/>
    <w:rsid w:val="00FF7E39"/>
    <w:rsid w:val="03F813EE"/>
    <w:rsid w:val="0D5F70B7"/>
    <w:rsid w:val="1CF70280"/>
    <w:rsid w:val="2D7303C5"/>
    <w:rsid w:val="347E5DED"/>
    <w:rsid w:val="731B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1.."/>
    <w:basedOn w:val="1"/>
    <w:link w:val="231"/>
    <w:qFormat/>
    <w:uiPriority w:val="0"/>
    <w:pPr>
      <w:widowControl/>
      <w:kinsoku w:val="0"/>
      <w:autoSpaceDE w:val="0"/>
      <w:autoSpaceDN w:val="0"/>
      <w:snapToGrid w:val="0"/>
      <w:spacing w:before="100" w:beforeLines="100" w:after="100" w:afterLines="100" w:line="240" w:lineRule="auto"/>
      <w:jc w:val="left"/>
      <w:textAlignment w:val="baseline"/>
      <w:outlineLvl w:val="1"/>
    </w:pPr>
    <w:rPr>
      <w:rFonts w:ascii="黑体" w:hAnsi="黑体" w:eastAsia="黑体" w:cs="黑体"/>
      <w:snapToGrid w:val="0"/>
      <w:color w:val="000000"/>
      <w:spacing w:val="7"/>
      <w:kern w:val="0"/>
      <w:szCs w:val="20"/>
      <w:lang w:eastAsia="en-US"/>
    </w:rPr>
  </w:style>
  <w:style w:type="character" w:customStyle="1" w:styleId="231">
    <w:name w:val="1.. Char"/>
    <w:link w:val="230"/>
    <w:qFormat/>
    <w:uiPriority w:val="0"/>
    <w:rPr>
      <w:rFonts w:ascii="黑体" w:hAnsi="黑体" w:eastAsia="黑体" w:cs="黑体"/>
      <w:snapToGrid w:val="0"/>
      <w:color w:val="000000"/>
      <w:spacing w:val="7"/>
      <w:sz w:val="21"/>
      <w:lang w:eastAsia="en-US"/>
    </w:rPr>
  </w:style>
  <w:style w:type="paragraph" w:customStyle="1" w:styleId="232">
    <w:name w:val="2.."/>
    <w:basedOn w:val="1"/>
    <w:link w:val="233"/>
    <w:qFormat/>
    <w:uiPriority w:val="0"/>
    <w:pPr>
      <w:widowControl/>
      <w:kinsoku w:val="0"/>
      <w:autoSpaceDE w:val="0"/>
      <w:autoSpaceDN w:val="0"/>
      <w:snapToGrid w:val="0"/>
      <w:spacing w:line="221" w:lineRule="auto"/>
      <w:ind w:left="408" w:firstLine="2531" w:firstLineChars="200"/>
      <w:jc w:val="left"/>
      <w:textAlignment w:val="baseline"/>
    </w:pPr>
    <w:rPr>
      <w:rFonts w:ascii="宋体" w:hAnsi="宋体" w:cs="宋体"/>
      <w:snapToGrid w:val="0"/>
      <w:color w:val="000000"/>
      <w:spacing w:val="8"/>
      <w:kern w:val="0"/>
    </w:rPr>
  </w:style>
  <w:style w:type="character" w:customStyle="1" w:styleId="233">
    <w:name w:val="2.. Char"/>
    <w:link w:val="232"/>
    <w:qFormat/>
    <w:uiPriority w:val="0"/>
    <w:rPr>
      <w:rFonts w:ascii="宋体" w:hAnsi="宋体" w:cs="宋体"/>
      <w:snapToGrid w:val="0"/>
      <w:color w:val="000000"/>
      <w:spacing w:val="8"/>
      <w:sz w:val="21"/>
      <w:szCs w:val="21"/>
    </w:rPr>
  </w:style>
  <w:style w:type="table" w:customStyle="1" w:styleId="234">
    <w:name w:val="Table Normal"/>
    <w:semiHidden/>
    <w:unhideWhenUsed/>
    <w:qFormat/>
    <w:uiPriority w:val="0"/>
    <w:rPr>
      <w:rFonts w:ascii="Times New Roman" w:hAnsi="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jpeg"/><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75FCDA7076849D1BB069DA915F51615"/>
        <w:style w:val=""/>
        <w:category>
          <w:name w:val="常规"/>
          <w:gallery w:val="placeholder"/>
        </w:category>
        <w:types>
          <w:type w:val="bbPlcHdr"/>
        </w:types>
        <w:behaviors>
          <w:behavior w:val="content"/>
        </w:behaviors>
        <w:description w:val=""/>
        <w:guid w:val="{D07359D7-34ED-4B30-9198-0BFA7C3C25CB}"/>
      </w:docPartPr>
      <w:docPartBody>
        <w:p w14:paraId="7795E5A9">
          <w:pPr>
            <w:pStyle w:val="5"/>
          </w:pPr>
          <w:r>
            <w:rPr>
              <w:rStyle w:val="4"/>
              <w:rFonts w:hint="eastAsia"/>
            </w:rPr>
            <w:t>单击或点击此处输入文字。</w:t>
          </w:r>
        </w:p>
      </w:docPartBody>
    </w:docPart>
    <w:docPart>
      <w:docPartPr>
        <w:name w:val="F4D3A6C7BC944059A9845FB57B775F53"/>
        <w:style w:val=""/>
        <w:category>
          <w:name w:val="常规"/>
          <w:gallery w:val="placeholder"/>
        </w:category>
        <w:types>
          <w:type w:val="bbPlcHdr"/>
        </w:types>
        <w:behaviors>
          <w:behavior w:val="content"/>
        </w:behaviors>
        <w:description w:val=""/>
        <w:guid w:val="{EAA7F2E7-3592-4C70-A07C-0EE45A61135D}"/>
      </w:docPartPr>
      <w:docPartBody>
        <w:p w14:paraId="6F79C7B9">
          <w:pPr>
            <w:pStyle w:val="6"/>
          </w:pPr>
          <w:r>
            <w:rPr>
              <w:rStyle w:val="4"/>
              <w:rFonts w:hint="eastAsia"/>
            </w:rPr>
            <w:t>选择一项。</w:t>
          </w:r>
        </w:p>
      </w:docPartBody>
    </w:docPart>
    <w:docPart>
      <w:docPartPr>
        <w:name w:val="E73765D0464441E59BE78936EAAF3592"/>
        <w:style w:val=""/>
        <w:category>
          <w:name w:val="常规"/>
          <w:gallery w:val="placeholder"/>
        </w:category>
        <w:types>
          <w:type w:val="bbPlcHdr"/>
        </w:types>
        <w:behaviors>
          <w:behavior w:val="content"/>
        </w:behaviors>
        <w:description w:val=""/>
        <w:guid w:val="{244AB180-CB6F-4F6B-B214-2FA611D96676}"/>
      </w:docPartPr>
      <w:docPartBody>
        <w:p w14:paraId="41F2DBE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49A"/>
    <w:rsid w:val="000A72E7"/>
    <w:rsid w:val="007756FC"/>
    <w:rsid w:val="0089209A"/>
    <w:rsid w:val="0099549A"/>
    <w:rsid w:val="00E9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75FCDA7076849D1BB069DA915F5161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4D3A6C7BC944059A9845FB57B775F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73765D0464441E59BE78936EAAF359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56DEE-60FA-4C2B-BA38-D05F732C3F6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3131</Words>
  <Characters>3516</Characters>
  <Lines>34</Lines>
  <Paragraphs>9</Paragraphs>
  <TotalTime>12</TotalTime>
  <ScaleCrop>false</ScaleCrop>
  <LinksUpToDate>false</LinksUpToDate>
  <CharactersWithSpaces>3631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2025-05-20T03:07:00Z</dcterms:created>
  <dc:creator>微软中国</dc:creator>
  <dc:description>&lt;config cover="true" show_menu="true" version="1.0.0" doctype="SDKXY"&gt;_x000d_
&lt;/config&gt;</dc:description>
  <cp:lastModifiedBy>WPS_1680923704</cp:lastModifiedBy>
  <cp:lastPrinted>2025-05-21T08:19:45Z</cp:lastPrinted>
  <dcterms:modified xsi:type="dcterms:W3CDTF">2025-05-21T08:21:31Z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eyJoZGlkIjoiMzU5ZGEyYzZmY2MyMTUxMTJkZjFkZTJiYjMwM2Q4OTEiLCJ1c2VySWQiOiIxNDg2NTQzMTIwIn0=</vt:lpwstr>
  </property>
  <property fmtid="{D5CDD505-2E9C-101B-9397-08002B2CF9AE}" pid="16" name="KSOProductBuildVer">
    <vt:lpwstr>2052-12.1.0.20784</vt:lpwstr>
  </property>
  <property fmtid="{D5CDD505-2E9C-101B-9397-08002B2CF9AE}" pid="17" name="ICV">
    <vt:lpwstr>AB0DE4F4B4CD4A7ABC8C37F9CD1AC296_12</vt:lpwstr>
  </property>
</Properties>
</file>